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88R9039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975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issuance of a personal identification certificate to a person whose driver's license is surrendered.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521.101, Transportation Code, is amended by amending Subsection (m) and adding Subsection (n) to read as follows:</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 </w:t>
      </w:r>
      <w:r>
        <w:t xml:space="preserve">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521.142;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require that the person issued a personal identification certificate be provided a voter registration form at the time of applying for the certificate to update the person's voter registration information to include the identification number of the newly issued certificate</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a person completes a voter registration form at the time of applying for a personal identification certificate  under Subsection (m)(4), the department shall submit the completed voter registration form to the secretary of state or the county clerk of the county in which the person resides not later than the 30th day after the date the personal identification certificate is issued. </w:t>
      </w:r>
      <w:r>
        <w:rPr>
          <w:u w:val="single"/>
        </w:rPr>
        <w:t xml:space="preserve"> </w:t>
      </w:r>
      <w:r>
        <w:rPr>
          <w:u w:val="single"/>
        </w:rPr>
        <w:t xml:space="preserve">Section 20.063(d), Election Code, applies to a voter registration form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