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88R4576 SHH-F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977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 of debt for the purposes of calculating certain ad valorem tax rates of a taxing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26.012(7), Tax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"Debt" means[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a bond, warrant, certificate of obligation, or other evidence of indebtedness owed by a taxing unit that </w:t>
      </w:r>
      <w:r>
        <w:rPr>
          <w:u w:val="single"/>
        </w:rPr>
        <w:t xml:space="preserve">has been approved at an election and</w:t>
      </w:r>
      <w:r>
        <w:t xml:space="preserve">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is payable from property taxes in installments over a period of more than one year, not budgeted for payment from maintenance and operations funds, and secured by a pledge of property taxes</w:t>
      </w:r>
      <w:r>
        <w:rPr>
          <w:u w:val="single"/>
        </w:rPr>
        <w:t xml:space="preserve">,</w:t>
      </w:r>
      <w:r>
        <w:t xml:space="preserve">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meets one of the following requirements:</w:t>
      </w:r>
    </w:p>
    <w:p w:rsidR="003F3435" w:rsidRDefault="0032493E">
      <w:pPr>
        <w:spacing w:line="480" w:lineRule="auto"/>
        <w:ind w:firstLine="360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has been approved at an election;</w:t>
      </w:r>
    </w:p>
    <w:p w:rsidR="003F3435" w:rsidRDefault="0032493E">
      <w:pPr>
        <w:spacing w:line="480" w:lineRule="auto"/>
        <w:ind w:firstLine="360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includes self-supporting debt;</w:t>
      </w:r>
    </w:p>
    <w:p w:rsidR="003F3435" w:rsidRDefault="0032493E">
      <w:pPr>
        <w:spacing w:line="480" w:lineRule="auto"/>
        <w:ind w:firstLine="360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evidences a loan under a state or federal financial assistance program;</w:t>
      </w:r>
    </w:p>
    <w:p w:rsidR="003F3435" w:rsidRDefault="0032493E">
      <w:pPr>
        <w:spacing w:line="480" w:lineRule="auto"/>
        <w:ind w:firstLine="3600"/>
        <w:jc w:val="both"/>
      </w:pPr>
      <w:r>
        <w:t xml:space="preserve">[</w:t>
      </w:r>
      <w:r>
        <w:rPr>
          <w:strike/>
        </w:rPr>
        <w:t xml:space="preserve">(d)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issued for designated infrastructure;</w:t>
      </w:r>
    </w:p>
    <w:p w:rsidR="003F3435" w:rsidRDefault="0032493E">
      <w:pPr>
        <w:spacing w:line="480" w:lineRule="auto"/>
        <w:ind w:firstLine="3600"/>
        <w:jc w:val="both"/>
      </w:pPr>
      <w:r>
        <w:t xml:space="preserve">[</w:t>
      </w:r>
      <w:r>
        <w:rPr>
          <w:strike/>
        </w:rPr>
        <w:t xml:space="preserve">(e)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a refunding bond;</w:t>
      </w:r>
    </w:p>
    <w:p w:rsidR="003F3435" w:rsidRDefault="0032493E">
      <w:pPr>
        <w:spacing w:line="480" w:lineRule="auto"/>
        <w:ind w:firstLine="3600"/>
        <w:jc w:val="both"/>
      </w:pPr>
      <w:r>
        <w:t xml:space="preserve">[</w:t>
      </w:r>
      <w:r>
        <w:rPr>
          <w:strike/>
        </w:rPr>
        <w:t xml:space="preserve">(f)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issued in response to an emergency under Section 1431.015, Government Code;</w:t>
      </w:r>
    </w:p>
    <w:p w:rsidR="003F3435" w:rsidRDefault="0032493E">
      <w:pPr>
        <w:spacing w:line="480" w:lineRule="auto"/>
        <w:ind w:firstLine="3600"/>
        <w:jc w:val="both"/>
      </w:pPr>
      <w:r>
        <w:t xml:space="preserve">[</w:t>
      </w:r>
      <w:r>
        <w:rPr>
          <w:strike/>
        </w:rPr>
        <w:t xml:space="preserve">(g)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issued for renovating, improving, or equipping existing buildings or facilities;</w:t>
      </w:r>
    </w:p>
    <w:p w:rsidR="003F3435" w:rsidRDefault="0032493E">
      <w:pPr>
        <w:spacing w:line="480" w:lineRule="auto"/>
        <w:ind w:firstLine="3600"/>
        <w:jc w:val="both"/>
      </w:pPr>
      <w:r>
        <w:t xml:space="preserve">[</w:t>
      </w:r>
      <w:r>
        <w:rPr>
          <w:strike/>
        </w:rPr>
        <w:t xml:space="preserve">(h)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issued for vehicles or equipment; or</w:t>
      </w:r>
    </w:p>
    <w:p w:rsidR="003F3435" w:rsidRDefault="0032493E">
      <w:pPr>
        <w:spacing w:line="480" w:lineRule="auto"/>
        <w:ind w:firstLine="3600"/>
        <w:jc w:val="both"/>
      </w:pPr>
      <w:r>
        <w:t xml:space="preserve">[</w:t>
      </w:r>
      <w:r>
        <w:rPr>
          <w:strike/>
        </w:rPr>
        <w:t xml:space="preserve">(i)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issued for a project under Chapter 311, Tax Code, or Chapter 222, Transportation Code, that is located in a reinvestment zone created under one of those chapters;</w:t>
      </w:r>
      <w:r>
        <w:t xml:space="preserve">]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a payment made under contract to secure indebtedness of a similar nature issued by another political subdivision on behalf of the taxing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26.012(9), (18-a), and (18-b), Tax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bond, warrant, certificate of obligation, or other evidence of indebtedness for which the ordinance, order, or resolution authorizing the issuance is adopted by the governing body of a taxing unit on or after the effective date of this Act and for which the taxing unit has not entered into a binding agreement before the effective date of this Act that contemplates the issuance of the debt. </w:t>
      </w:r>
      <w:r>
        <w:t xml:space="preserve"> </w:t>
      </w:r>
      <w:r>
        <w:t xml:space="preserve">The changes in law made by this Act do not apply to a bond, warrant, certificate of obligation, or other evidence of indebtedness for which the ordinance, order, or resolution authorizing the issuance was adopted by the governing body of a taxing unit before the effective date of this Act or for which the taxing unit has entered into a binding agreement before the effective date of this Act that contemplates the issuance of such debt, and the former law is continued in effect for that purpose. </w:t>
      </w:r>
      <w:r>
        <w:t xml:space="preserve"> </w:t>
      </w:r>
      <w:r>
        <w:t xml:space="preserve">For the purposes of this section, "binding agreement" includes a development agreement, ordinance, order, or resolution that authorizes or delegates to an appropriate officer of a taxing unit the execution of a binding agreement at a later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