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986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16,</w:t>
      </w:r>
      <w:r xml:space="preserve">
        <w:t> </w:t>
      </w:r>
      <w:r>
        <w:t xml:space="preserve">2023; March</w:t>
      </w:r>
      <w:r xml:space="preserve">
        <w:t> </w:t>
      </w:r>
      <w:r>
        <w:t xml:space="preserve">3,</w:t>
      </w:r>
      <w:r xml:space="preserve">
        <w:t> </w:t>
      </w:r>
      <w:r>
        <w:t xml:space="preserve">2023, read first time and referred to Committee on Business &amp; Commerce; April</w:t>
      </w:r>
      <w:r xml:space="preserve">
        <w:t> </w:t>
      </w:r>
      <w:r>
        <w:t xml:space="preserve">12,</w:t>
      </w:r>
      <w:r xml:space="preserve">
        <w:t> </w:t>
      </w:r>
      <w:r>
        <w:t xml:space="preserve">2023, reported favorably by the following vote:</w:t>
      </w:r>
      <w:r>
        <w:t xml:space="preserve"> </w:t>
      </w:r>
      <w:r>
        <w:t xml:space="preserve"> </w:t>
      </w:r>
      <w:r>
        <w:t xml:space="preserve">Yeas 8, Nays 3;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 local government to regulate evictions.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 Property Code, is amended by adding Section 24.0041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24.0041.</w:t>
      </w:r>
      <w:r>
        <w:rPr>
          <w:u w:val="single"/>
        </w:rPr>
        <w:t xml:space="preserve"> </w:t>
      </w:r>
      <w:r>
        <w:rPr>
          <w:u w:val="single"/>
        </w:rPr>
        <w:t xml:space="preserve"> </w:t>
      </w:r>
      <w:r>
        <w:rPr>
          <w:u w:val="single"/>
        </w:rPr>
        <w:t xml:space="preserve">AUTHORITY OF LOCAL GOVERNMENTS TO REGULATE EVICTIONS.  Notwithstanding any other law, a municipality or county may not adopt or enforce an ordinance, order, or other measure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restricts, or delays: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delivery of a notice to vacate;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of a suit to recover possession of the premises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relates to an eviction suit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24.005(e), Property Code, is amended to read as follows:</w:t>
      </w:r>
    </w:p>
    <w:p w:rsidR="003F3435" w:rsidRDefault="0032493E">
      <w:pPr>
        <w:spacing w:line="480" w:lineRule="auto"/>
        <w:ind w:firstLine="720"/>
        <w:jc w:val="both"/>
      </w:pPr>
      <w:r>
        <w:t xml:space="preserve">(e)</w:t>
      </w:r>
      <w:r xml:space="preserve">
        <w:t> </w:t>
      </w:r>
      <w:r xml:space="preserve">
        <w:t> </w:t>
      </w:r>
      <w:r>
        <w:t xml:space="preserve">If the lease or applicable </w:t>
      </w:r>
      <w:r>
        <w:rPr>
          <w:u w:val="single"/>
        </w:rPr>
        <w:t xml:space="preserve">federal</w:t>
      </w:r>
      <w:r>
        <w:t xml:space="preserve"> law requires the landlord to give a tenant an opportunity to respond to a notice of proposed eviction, a notice to vacate may not be given until the period provided for the tenant to respond to the eviction notice has expired.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eviction suit in which the notice to vacate is given on or after the effective date of this Act.  An eviction suit in which the notice to vacate is given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