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88R7188 KBB-F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requirements regarding recovery audits of payments made to vendors by state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2115.005.</w:t>
      </w:r>
      <w:r xml:space="preserve">
        <w:t> </w:t>
      </w:r>
      <w:r xml:space="preserve">
        <w:t> </w:t>
      </w:r>
      <w:r>
        <w:rPr>
          <w:u w:val="single"/>
        </w:rPr>
        <w:t xml:space="preserve">BIENNIAL REPORT</w:t>
      </w:r>
      <w:r>
        <w:t xml:space="preserve"> [</w:t>
      </w:r>
      <w:r>
        <w:rPr>
          <w:strike/>
        </w:rPr>
        <w:t xml:space="preserve">FORWARDING REPORTS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Subject to Subsection (b), not</w:t>
      </w:r>
      <w:r>
        <w:t xml:space="preserve"> </w:t>
      </w:r>
      <w:r>
        <w:t xml:space="preserve">[</w:t>
      </w:r>
      <w:r>
        <w:rPr>
          <w:strike/>
        </w:rPr>
        <w:t xml:space="preserve">The comptroller shall provide copies, including electronic form copies, of any reports received from a consultant contracting under Section 2115.002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auditor's office;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Legislative Budget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comptroller shall provide the copies required by Subsection (a) not later than the 15th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</w:t>
      </w:r>
      <w:r>
        <w:t xml:space="preserve">] later than February 1 of each odd-numbered year, the comptroller shall issue [</w:t>
      </w:r>
      <w:r>
        <w:rPr>
          <w:strike/>
        </w:rPr>
        <w:t xml:space="preserve">a report</w:t>
      </w:r>
      <w:r>
        <w:t xml:space="preserve">] to the legislature</w:t>
      </w:r>
      <w:r>
        <w:rPr>
          <w:u w:val="single"/>
        </w:rPr>
        <w:t xml:space="preserve">, governor, state auditor's office, and Legislative Budget Board a report</w:t>
      </w:r>
      <w:r>
        <w:t xml:space="preserve"> summarizing the activities conducted </w:t>
      </w:r>
      <w:r>
        <w:rPr>
          <w:u w:val="single"/>
        </w:rPr>
        <w:t xml:space="preserve">by a consultant pursuant to a recovery audit</w:t>
      </w:r>
      <w:r>
        <w:t xml:space="preserve"> under this chapter during the </w:t>
      </w:r>
      <w:r>
        <w:rPr>
          <w:u w:val="single"/>
        </w:rPr>
        <w:t xml:space="preserve">preceding</w:t>
      </w:r>
      <w:r>
        <w:t xml:space="preserve"> state fiscal biennium [</w:t>
      </w:r>
      <w:r>
        <w:rPr>
          <w:strike/>
        </w:rPr>
        <w:t xml:space="preserve">ending August 31 of the previous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is required to issue a report under Subsection (a) only if a recovery audit was completed under this chapter during the preceding state fiscal biennium.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