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989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biomarker testing.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8, Insurance Code, is amended by adding Chapter 1372 to read as follows:</w:t>
      </w:r>
    </w:p>
    <w:p w:rsidR="003F3435" w:rsidRDefault="0032493E">
      <w:pPr>
        <w:spacing w:line="480" w:lineRule="auto"/>
        <w:jc w:val="center"/>
      </w:pPr>
      <w:r>
        <w:rPr>
          <w:u w:val="single"/>
        </w:rPr>
        <w:t xml:space="preserve">CHAPTER 1372. </w:t>
      </w:r>
      <w:r>
        <w:rPr>
          <w:u w:val="single"/>
        </w:rPr>
        <w:t xml:space="preserve"> </w:t>
      </w:r>
      <w:r>
        <w:rPr>
          <w:u w:val="single"/>
        </w:rPr>
        <w:t xml:space="preserve">COVERAGE FOR BIOMARKER TESTING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"Biomarker" means a characteristic that is objectively measured and evaluated as an indicator of normal biological processes, pathogenic processes, or pharmacologic responses to a specific therapeutic intervention.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 mutations;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protein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"Biomarker testing" means the analysis of a patient's tissue, blood, or other biospecimen for the presence of a biomarker.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single-analyte tests;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multiplex panel tests;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whole genome sequencing.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"Consensus statements" means statements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 specific clinical circumstances based on the best available evidence for the purpose of optimizing clinical care outcomes;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developed by an independent, multidisciplinary panel of experts that uses a transparent methodology and reporting structure and is subject to a conflict of interest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means evidence-based clinical practice guidelines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establish a standard of care informed by a systematic review of evidence and an assessment of the benefits and costs of alternative care options;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 recommendations intended to optimize patient care;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developed by an independent organization or medical professional society that uses a transparent methodology and reporting structure and is subject to a conflict of interest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1372.002.</w:t>
      </w:r>
      <w:r>
        <w:rPr>
          <w:u w:val="single"/>
        </w:rPr>
        <w:t xml:space="preserve"> </w:t>
      </w:r>
      <w:r>
        <w:rPr>
          <w:u w:val="single"/>
        </w:rPr>
        <w:t xml:space="preserve"> </w:t>
      </w:r>
      <w:r>
        <w:rPr>
          <w:u w:val="single"/>
        </w:rP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child health plan program under Chapter 62,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1372.003.</w:t>
      </w:r>
      <w:r>
        <w:rPr>
          <w:u w:val="single"/>
        </w:rPr>
        <w:t xml:space="preserve"> </w:t>
      </w:r>
      <w:r>
        <w:rPr>
          <w:u w:val="single"/>
        </w:rPr>
        <w:t xml:space="preserve"> </w:t>
      </w:r>
      <w:r>
        <w:rPr>
          <w:u w:val="single"/>
        </w:rPr>
        <w:t xml:space="preserve">COVERAGE REQUIRED.  (a) </w:t>
      </w:r>
      <w:r>
        <w:rPr>
          <w:u w:val="single"/>
        </w:rPr>
        <w:t xml:space="preserve"> </w:t>
      </w:r>
      <w:r>
        <w:rPr>
          <w:u w:val="single"/>
        </w:rPr>
        <w:t xml:space="preserve">Subject to Subsection (b), a health benefit plan must provide coverage for biomarker testing for the purpose of diagnosis, treatment, appropriate management, or ongoing monitoring of an enrollee's disease or condition to guide treatment when the test is supported by the following kinds of medical and scientific evidence: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labeled indication for a test approved or cleared by the United States Food and Drug Administration;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indicated test for a drug approved by the United States Food and Drug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national coverage determination made by the Centers for Medicare and Medicaid Services or a local coverage determination made by a Medicare administrative contractor;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nationally recognized clinical practice guidelines;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consensus statements.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must provide coverage under Subsection (a) only when use of biomarker testing provides clinical utility because use of the test for the condition: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evidence-based;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scientifically valid based on the medical and scientific evidence described by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informs a patient's outcome and a provider's clinical decision;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predominately addresses the acute or chronic issue for which the test is being ordered, except that a test may include some information that cannot be immediately used in the formulation of a clinical decision.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must provide coverage under Subsection (a) in a manner that limits disruptions in care, including limiting the number of biopsies and biospecimen samples.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989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26,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989 passed the House on May</w:t>
      </w:r>
      <w:r xml:space="preserve">
        <w:t> </w:t>
      </w:r>
      <w:r>
        <w:t xml:space="preserve">16,</w:t>
      </w:r>
      <w:r xml:space="preserve">
        <w:t> </w:t>
      </w:r>
      <w:r>
        <w:t xml:space="preserve">2023, by the following vote:</w:t>
      </w:r>
      <w:r xml:space="preserve">
        <w:t> </w:t>
      </w:r>
      <w:r xml:space="preserve">
        <w:t> </w:t>
      </w:r>
      <w:r>
        <w:t xml:space="preserve">Yeas</w:t>
      </w:r>
      <w:r xml:space="preserve">
        <w:t> </w:t>
      </w:r>
      <w:r>
        <w:t xml:space="preserve">114, Nays</w:t>
      </w:r>
      <w:r xml:space="preserve">
        <w:t> </w:t>
      </w:r>
      <w:r>
        <w:t xml:space="preserve">24,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