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Sparks</w:t>
      </w:r>
      <w:r xml:space="preserve">
        <w:tab wTab="150" tlc="none" cTlc="0"/>
      </w:r>
      <w:r>
        <w:t xml:space="preserve">S.B.</w:t>
      </w:r>
      <w:r xml:space="preserve">
        <w:t> </w:t>
      </w:r>
      <w:r>
        <w:t xml:space="preserve">No.</w:t>
      </w:r>
      <w:r xml:space="preserve">
        <w:t> </w:t>
      </w:r>
      <w:r>
        <w:t xml:space="preserve">991</w:t>
      </w:r>
    </w:p>
    <w:p w:rsidR="003F3435" w:rsidRDefault="0032493E">
      <w:pPr>
        <w:jc w:val="both"/>
      </w:pPr>
      <w:r xml:space="preserve">
        <w:t> </w:t>
      </w:r>
      <w:r xml:space="preserve">
        <w:t> </w:t>
      </w:r>
      <w:r xml:space="preserve">
        <w:t> </w:t>
      </w:r>
      <w:r xml:space="preserve">
        <w:t> </w:t>
      </w:r>
      <w:r xml:space="preserve">
        <w:t> </w:t>
      </w:r>
      <w:r>
        <w:t xml:space="preserve">West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crime laboratory portal by the Department of Public Safety of the State of Texas and to disciplinary proceedings applicable to a crime laboratory or license holder investigated by the Texas Forensic Science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4-c(a), (c), (d), and (e), Article 38.01,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the commission that a license holder </w:t>
      </w:r>
      <w:r>
        <w:rPr>
          <w:u w:val="single"/>
        </w:rPr>
        <w:t xml:space="preserve">or crime laboratory</w:t>
      </w:r>
      <w:r>
        <w:t xml:space="preserve"> has committed professional </w:t>
      </w:r>
      <w:r>
        <w:rPr>
          <w:u w:val="single"/>
        </w:rPr>
        <w:t xml:space="preserve">negligence or professional</w:t>
      </w:r>
      <w:r>
        <w:t xml:space="preserve"> misconduct under this article</w:t>
      </w:r>
      <w:r>
        <w:rPr>
          <w:u w:val="single"/>
        </w:rPr>
        <w:t xml:space="preserve">, violated the code of professional responsibility under this article,</w:t>
      </w:r>
      <w:r>
        <w:t xml:space="preserve"> or </w:t>
      </w:r>
      <w:r>
        <w:rPr>
          <w:u w:val="single"/>
        </w:rPr>
        <w:t xml:space="preserve">otherwise</w:t>
      </w:r>
      <w:r>
        <w:t xml:space="preserve"> violated this article or a rule or order of the commission under this article, the commission may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revoke or suspend the person's license </w:t>
      </w:r>
      <w:r>
        <w:rPr>
          <w:u w:val="single"/>
        </w:rPr>
        <w:t xml:space="preserve">or crime laboratory's accreditation</w:t>
      </w:r>
      <w:r>
        <w:t xml:space="preserve">;</w:t>
      </w:r>
    </w:p>
    <w:p w:rsidR="003F3435" w:rsidRDefault="0032493E">
      <w:pPr>
        <w:spacing w:line="480" w:lineRule="auto"/>
        <w:ind w:firstLine="1440"/>
        <w:jc w:val="both"/>
      </w:pPr>
      <w:r>
        <w:t xml:space="preserve">(2)</w:t>
      </w:r>
      <w:r xml:space="preserve">
        <w:t> </w:t>
      </w:r>
      <w:r xml:space="preserve">
        <w:t> </w:t>
      </w:r>
      <w:r>
        <w:t xml:space="preserve">refuse to renew the person's license </w:t>
      </w:r>
      <w:r>
        <w:rPr>
          <w:u w:val="single"/>
        </w:rPr>
        <w:t xml:space="preserve">or crime laboratory's accreditation</w:t>
      </w:r>
      <w:r>
        <w:t xml:space="preserve">; or</w:t>
      </w:r>
    </w:p>
    <w:p w:rsidR="003F3435" w:rsidRDefault="0032493E">
      <w:pPr>
        <w:spacing w:line="480" w:lineRule="auto"/>
        <w:ind w:firstLine="1440"/>
        <w:jc w:val="both"/>
      </w:pPr>
      <w:r>
        <w:t xml:space="preserve">(3)</w:t>
      </w:r>
      <w:r xml:space="preserve">
        <w:t> </w:t>
      </w:r>
      <w:r xml:space="preserve">
        <w:t> </w:t>
      </w:r>
      <w:r>
        <w:t xml:space="preserve">reprimand the license holder </w:t>
      </w:r>
      <w:r>
        <w:rPr>
          <w:u w:val="single"/>
        </w:rPr>
        <w:t xml:space="preserve">or crime laboratory</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give written notice by certified mail of a determination described by Subsection (a) to </w:t>
      </w:r>
      <w:r>
        <w:rPr>
          <w:u w:val="single"/>
        </w:rPr>
        <w:t xml:space="preserve">the applicable</w:t>
      </w:r>
      <w:r>
        <w:t xml:space="preserve"> [</w:t>
      </w:r>
      <w:r>
        <w:rPr>
          <w:strike/>
        </w:rPr>
        <w:t xml:space="preserve">a</w:t>
      </w:r>
      <w:r>
        <w:t xml:space="preserve">] license holder </w:t>
      </w:r>
      <w:r>
        <w:rPr>
          <w:u w:val="single"/>
        </w:rPr>
        <w:t xml:space="preserve">or crime laboratory</w:t>
      </w:r>
      <w:r>
        <w:t xml:space="preserve"> [</w:t>
      </w:r>
      <w:r>
        <w:rPr>
          <w:strike/>
        </w:rPr>
        <w:t xml:space="preserve">who is the subject of the determination</w:t>
      </w:r>
      <w:r>
        <w:t xml:space="preserv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w:t>
      </w:r>
      <w:r>
        <w:rPr>
          <w:u w:val="single"/>
        </w:rPr>
        <w:t xml:space="preserve">negligence,</w:t>
      </w:r>
      <w:r>
        <w:t xml:space="preserve"> misconduct</w:t>
      </w:r>
      <w:r>
        <w:rPr>
          <w:u w:val="single"/>
        </w:rPr>
        <w:t xml:space="preserve">,</w:t>
      </w:r>
      <w:r>
        <w:t xml:space="preserve"> or violation;</w:t>
      </w:r>
    </w:p>
    <w:p w:rsidR="003F3435" w:rsidRDefault="0032493E">
      <w:pPr>
        <w:spacing w:line="480" w:lineRule="auto"/>
        <w:ind w:firstLine="1440"/>
        <w:jc w:val="both"/>
      </w:pPr>
      <w:r>
        <w:t xml:space="preserve">(2)</w:t>
      </w:r>
      <w:r xml:space="preserve">
        <w:t> </w:t>
      </w:r>
      <w:r xml:space="preserve">
        <w:t> </w:t>
      </w:r>
      <w:r>
        <w:t xml:space="preserve">state the disciplinary action taken by the commission; and</w:t>
      </w:r>
    </w:p>
    <w:p w:rsidR="003F3435" w:rsidRDefault="0032493E">
      <w:pPr>
        <w:spacing w:line="480" w:lineRule="auto"/>
        <w:ind w:firstLine="1440"/>
        <w:jc w:val="both"/>
      </w:pPr>
      <w:r>
        <w:t xml:space="preserve">(3)</w:t>
      </w:r>
      <w:r xml:space="preserve">
        <w:t> </w:t>
      </w:r>
      <w:r xml:space="preserve">
        <w:t> </w:t>
      </w:r>
      <w:r>
        <w:t xml:space="preserve">inform the license holder </w:t>
      </w:r>
      <w:r>
        <w:rPr>
          <w:u w:val="single"/>
        </w:rPr>
        <w:t xml:space="preserve">or crime laboratory</w:t>
      </w:r>
      <w:r>
        <w:t xml:space="preserve"> of the license holder's </w:t>
      </w:r>
      <w:r>
        <w:rPr>
          <w:u w:val="single"/>
        </w:rPr>
        <w:t xml:space="preserve">or crime laboratory's</w:t>
      </w:r>
      <w:r>
        <w:t xml:space="preserve"> right to a hearing before the Judicial Branch Certification Commission on the occurrence of the </w:t>
      </w:r>
      <w:r>
        <w:rPr>
          <w:u w:val="single"/>
        </w:rPr>
        <w:t xml:space="preserve">negligence,</w:t>
      </w:r>
      <w:r>
        <w:t xml:space="preserve"> misconduct</w:t>
      </w:r>
      <w:r>
        <w:rPr>
          <w:u w:val="single"/>
        </w:rPr>
        <w:t xml:space="preserve">,</w:t>
      </w:r>
      <w:r>
        <w:t xml:space="preserve"> or violation, the imposition of </w:t>
      </w:r>
      <w:r>
        <w:rPr>
          <w:u w:val="single"/>
        </w:rPr>
        <w:t xml:space="preserve">a</w:t>
      </w:r>
      <w:r>
        <w:t xml:space="preserve"> disciplinary action,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the license holder </w:t>
      </w:r>
      <w:r>
        <w:rPr>
          <w:u w:val="single"/>
        </w:rPr>
        <w:t xml:space="preserve">or crime laboratory</w:t>
      </w:r>
      <w:r>
        <w:t xml:space="preserve"> receives the notice under Subsection (c), the license holder </w:t>
      </w:r>
      <w:r>
        <w:rPr>
          <w:u w:val="single"/>
        </w:rPr>
        <w:t xml:space="preserve">or crime laboratory</w:t>
      </w:r>
      <w:r>
        <w:t xml:space="preserve"> may </w:t>
      </w:r>
      <w:r>
        <w:rPr>
          <w:u w:val="single"/>
        </w:rPr>
        <w:t xml:space="preserve">accept the disciplinary action or</w:t>
      </w:r>
      <w:r>
        <w:t xml:space="preserve"> request a hearing by submitting a written request to the Judicial Branch Certification Commission </w:t>
      </w:r>
      <w:r>
        <w:rPr>
          <w:u w:val="single"/>
        </w:rPr>
        <w:t xml:space="preserve">to contest the findings of fact or conclusions of law, the occurrence of the negligence, misconduct, or violation, or the imposition of a disciplinary action, as applicable</w:t>
      </w:r>
      <w:r>
        <w:t xml:space="preserve">.</w:t>
      </w:r>
      <w:r xml:space="preserve">
        <w:t> </w:t>
      </w:r>
      <w:r xml:space="preserve">
        <w:t> </w:t>
      </w:r>
      <w:r>
        <w:t xml:space="preserve">If the license holder </w:t>
      </w:r>
      <w:r>
        <w:rPr>
          <w:u w:val="single"/>
        </w:rPr>
        <w:t xml:space="preserve">or crime laboratory</w:t>
      </w:r>
      <w:r>
        <w:t xml:space="preserve"> fails to timely submit a request, the commission's disciplinary action becomes final and is not subject to review by the Judicial Branch Certification Commission.</w:t>
      </w:r>
    </w:p>
    <w:p w:rsidR="003F3435" w:rsidRDefault="0032493E">
      <w:pPr>
        <w:spacing w:line="480" w:lineRule="auto"/>
        <w:ind w:firstLine="720"/>
        <w:jc w:val="both"/>
      </w:pPr>
      <w:r>
        <w:t xml:space="preserve">(e)</w:t>
      </w:r>
      <w:r xml:space="preserve">
        <w:t> </w:t>
      </w:r>
      <w:r xml:space="preserve">
        <w:t> </w:t>
      </w:r>
      <w:r>
        <w:t xml:space="preserve">If the license holder </w:t>
      </w:r>
      <w:r>
        <w:rPr>
          <w:u w:val="single"/>
        </w:rPr>
        <w:t xml:space="preserve">or crime laboratory</w:t>
      </w:r>
      <w:r>
        <w:t xml:space="preserve"> requests a hearing, the Judicial Branch Certification Commission shall conduct a hearing to determine whether there is substantial evidence to support the determination under Subsection (a) that the </w:t>
      </w:r>
      <w:r>
        <w:rPr>
          <w:u w:val="single"/>
        </w:rPr>
        <w:t xml:space="preserve">negligence, misconduct, or violation occurred</w:t>
      </w:r>
      <w:r>
        <w:t xml:space="preserve"> [</w:t>
      </w:r>
      <w:r>
        <w:rPr>
          <w:strike/>
        </w:rPr>
        <w:t xml:space="preserve">license holder committed professional misconduct or violated this article or a commission rule or order under this article</w:t>
      </w:r>
      <w:r>
        <w:t xml:space="preserve">].</w:t>
      </w:r>
      <w:r xml:space="preserve">
        <w:t> </w:t>
      </w:r>
      <w:r xml:space="preserve">
        <w:t> </w:t>
      </w:r>
      <w:r>
        <w:t xml:space="preserve">If the Judicial Branch Certification Commission upholds the determination, the Judicial Branch Certification Commission shall determine the type of disciplinary action to be taken.</w:t>
      </w:r>
      <w:r xml:space="preserve">
        <w:t> </w:t>
      </w:r>
      <w:r xml:space="preserve">
        <w:t> </w:t>
      </w:r>
      <w:r>
        <w:t xml:space="preserve">The Judicial Branch Certification Commission shall conduct the hearing</w:t>
      </w:r>
      <w:r>
        <w:rPr>
          <w:u w:val="single"/>
        </w:rPr>
        <w:t xml:space="preserve">, and any appeal of that commission's decision,</w:t>
      </w:r>
      <w:r>
        <w:t xml:space="preserve"> in accordance with the procedures provided by Subchapter B, Chapter 153, Government Code, as applicable, and the rules of the Judicial Branch Certification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Subchapter G-1 to read as follows:</w:t>
      </w:r>
    </w:p>
    <w:p w:rsidR="003F3435" w:rsidRDefault="0032493E">
      <w:pPr>
        <w:spacing w:line="480" w:lineRule="auto"/>
        <w:jc w:val="center"/>
      </w:pPr>
      <w:r>
        <w:rPr>
          <w:u w:val="single"/>
        </w:rPr>
        <w:t xml:space="preserve">SUBCHAPTER G-1.  CRIME LABORATORY PORTAL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411.161.</w:t>
      </w:r>
      <w:r>
        <w:rPr>
          <w:u w:val="single"/>
        </w:rPr>
        <w:t xml:space="preserve"> </w:t>
      </w:r>
      <w:r>
        <w:rPr>
          <w:u w:val="single"/>
        </w:rPr>
        <w:t xml:space="preserve"> </w:t>
      </w:r>
      <w:r>
        <w:rPr>
          <w:u w:val="single"/>
        </w:rPr>
        <w:t xml:space="preserve">DEFINITIONS.  In this subchapter, "crime laboratory," "criminal action," and "forensic analysis" have the meanings assigned by Article 38.35,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411.162.</w:t>
      </w:r>
      <w:r>
        <w:rPr>
          <w:u w:val="single"/>
        </w:rPr>
        <w:t xml:space="preserve"> </w:t>
      </w:r>
      <w:r>
        <w:rPr>
          <w:u w:val="single"/>
        </w:rPr>
        <w:t xml:space="preserve"> </w:t>
      </w:r>
      <w:r>
        <w:rPr>
          <w:u w:val="single"/>
        </w:rPr>
        <w:t xml:space="preserve">CRIME LABORATORY PORTAL.  The department by rule shall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Code of Criminal Procedure.  The portal may not be used as a central repository for crime laboratory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411.163.</w:t>
      </w:r>
      <w:r>
        <w:rPr>
          <w:u w:val="single"/>
        </w:rPr>
        <w:t xml:space="preserve"> </w:t>
      </w:r>
      <w:r>
        <w:rPr>
          <w:u w:val="single"/>
        </w:rPr>
        <w:t xml:space="preserve"> </w:t>
      </w:r>
      <w:r>
        <w:rPr>
          <w:u w:val="single"/>
        </w:rPr>
        <w:t xml:space="preserve">MANDATORY CRIME LABORATORY PARTICIPATION; DISCIPLINARY ACTION.  (a)  A crime laboratory that performs a forensic analysis for use in a criminal action shall participate, in accordance with department rule, in the transfer of crime laboratory records using the crime laboratory portal established under Section 411.162. </w:t>
      </w:r>
      <w:r>
        <w:rPr>
          <w:u w:val="single"/>
        </w:rPr>
        <w:t xml:space="preserve"> </w:t>
      </w:r>
      <w:r>
        <w:rPr>
          <w:u w:val="single"/>
        </w:rPr>
        <w:t xml:space="preserve">The department by rule may exempt a crime laboratory from the requirements of this subsection if the department determines that the crime laboratory: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outside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an insufficient number of forensic analyses in criminal actions in this state to warrant participation in the crime laboratory portal.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crime laboratory that violates Subsection (a) is subject to disciplinary action by the Texas Forensic Science Commission in the same manner as if the laboratory had otherwise violated accreditation standards under Article 38.01,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411.164.</w:t>
      </w:r>
      <w:r>
        <w:rPr>
          <w:u w:val="single"/>
        </w:rPr>
        <w:t xml:space="preserve"> </w:t>
      </w:r>
      <w:r>
        <w:rPr>
          <w:u w:val="single"/>
        </w:rPr>
        <w:t xml:space="preserve"> </w:t>
      </w:r>
      <w:r>
        <w:rPr>
          <w:u w:val="single"/>
        </w:rPr>
        <w:t xml:space="preserve">DEFENSE COUNSEL ACCESS TO CRIME LABORATORY PORTAL.  The attorney representing the state in a criminal action shall ensure that the defendant or the defendant's attorney, as appropriate, is able to access and use the crime laboratory portal under Section 411.162 to request any crime laboratory records that are subject to discovery under Article 39.14,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