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88R4742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991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crime laboratory portal by the Department of Public Safety of the State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G-1 to read as follows:</w:t>
      </w:r>
    </w:p>
    <w:p w:rsidR="003F3435" w:rsidRDefault="0032493E">
      <w:pPr>
        <w:spacing w:line="480" w:lineRule="auto"/>
        <w:jc w:val="center"/>
      </w:pPr>
      <w:r>
        <w:rPr>
          <w:u w:val="single"/>
        </w:rPr>
        <w:t xml:space="preserve">SUBCHAPTER G-1.  CRIME LABORATORY PORTAL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411.161.</w:t>
      </w:r>
      <w:r>
        <w:rPr>
          <w:u w:val="single"/>
        </w:rPr>
        <w:t xml:space="preserve"> </w:t>
      </w:r>
      <w:r>
        <w:rPr>
          <w:u w:val="single"/>
        </w:rPr>
        <w:t xml:space="preserve"> </w:t>
      </w:r>
      <w:r>
        <w:rPr>
          <w:u w:val="single"/>
        </w:rPr>
        <w:t xml:space="preserve">DEFINITIONS.  In this subchapter, "crime laboratory," "criminal action," and "forensic analysis" have the meanings assigned by Article 38.35,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411.162.</w:t>
      </w:r>
      <w:r>
        <w:rPr>
          <w:u w:val="single"/>
        </w:rPr>
        <w:t xml:space="preserve"> </w:t>
      </w:r>
      <w:r>
        <w:rPr>
          <w:u w:val="single"/>
        </w:rPr>
        <w:t xml:space="preserve"> </w:t>
      </w:r>
      <w:r>
        <w:rPr>
          <w:u w:val="single"/>
        </w:rPr>
        <w:t xml:space="preserve">CRIME LABORATORY PORTAL.  The department by rule shall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Code of Criminal Procedure.  The portal may not be used as a central repository for crime laboratory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411.163.</w:t>
      </w:r>
      <w:r>
        <w:rPr>
          <w:u w:val="single"/>
        </w:rPr>
        <w:t xml:space="preserve"> </w:t>
      </w:r>
      <w:r>
        <w:rPr>
          <w:u w:val="single"/>
        </w:rPr>
        <w:t xml:space="preserve"> </w:t>
      </w:r>
      <w:r>
        <w:rPr>
          <w:u w:val="single"/>
        </w:rPr>
        <w:t xml:space="preserve">MANDATORY CRIME LABORATORY PARTICIPATION; DISCIPLINARY ACTION.  (a)  A crime laboratory that performs a forensic analysis for use in a criminal action shall participate, in accordance with department rule, in the transfer of crime laboratory records using the crime laboratory portal established under Section 411.162.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crime laboratory that violates Subsection (a) is subject to disciplinary action by the Texas Forensic Science Commission in the same manner as if the laboratory had otherwise violated accreditation standards under Article 38.01,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411.164.</w:t>
      </w:r>
      <w:r>
        <w:rPr>
          <w:u w:val="single"/>
        </w:rPr>
        <w:t xml:space="preserve"> </w:t>
      </w:r>
      <w:r>
        <w:rPr>
          <w:u w:val="single"/>
        </w:rPr>
        <w:t xml:space="preserve"> </w:t>
      </w:r>
      <w:r>
        <w:rPr>
          <w:u w:val="single"/>
        </w:rPr>
        <w:t xml:space="preserve">DEFENSE COUNSEL ACCESS TO CRIME LABORATORY PORTAL.  The attorney representing the state in a criminal action shall ensure that the defendant or the defendant's attorney, as appropriate, is able to access and use the crime laboratory portal under Section 411.162 to request any crime laboratory records that are subject to discovery under Article 39.14,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