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88R8258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publication of certain photographs of human remains by first responders, coroners, medical examiners, and certain other employees for a purpose other than an official purpose;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Kobe and Gianna Bryant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39, Penal Code, is amended by adding Section 39.08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39.08.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PUBLISHING CERTAIN PHOTOGRAPHS DEPICTING HUMAN REMAINS.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"First responder" has the meaning assigned by Section 421.095,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"Human remains" has the meaning assigned by Section 711.001,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"Publish" means to display, present, or release a photograph to another person, or to cause a photograph to be displayed, presented, or released to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publishes a photograph of human remains that the person obtained while acting within the course and scope of the person's duties as a first responder, coroner, medical examiner, employee of a coroner's office, or employee of an office of a medical examiner.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a defense to prosecution under Subsection (b) that the person published the photograph of human remains for an official law enforcement or medical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(b), a photograph is considered to have been published if the photograph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displayed to another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sent to another person by text message;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posted on a social media platform;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sold to a news publication;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used in a movie or documentary.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Title 5, Civil Practice and Remedies Code, is amended by adding Chapter 117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117. LIABILITY FOR PUBLICATION OF CERTAIN PHOTOGRAPHS BY FIRST RESPONDER OR MEDICAL EXAMINER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PUBLISHING PHOTOGRAPHS PORTRAYING HUMAN REMAINS.  (a)  A defendant is liable to a person's surviving spouse, child, or parent for damages or other relief arising from a violation of Section 39.08, Penal Code, in relation to the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who prevails in an action under Subsection (a) is entitled to recover reasonable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unit is jointly and severally liable for damages arising from a violation of Section 39.08, Penal Code, by a person employed by the governmental unit.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unit's sovereign or governmental immunity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first responder, coroner, medical examiner, employee of a coroner's office, or employee of an office of a medical examiner may not assert official immunity as a defense to liability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Damages awarded in an action brought under this section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117,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