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998</w:t>
      </w:r>
    </w:p>
    <w:p w:rsidR="003F3435" w:rsidRDefault="0032493E">
      <w:pPr>
        <w:ind w:firstLine="720"/>
        <w:jc w:val="both"/>
      </w:pPr>
      <w:r>
        <w:t xml:space="preserve">(Geren)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opioid-related drug overdose training program for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5, Alcoholic Beverage Code, is amended by adding Section 5.61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5.61.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"opioid antagonist" and "opioid-related drug overdose" have the meanings assigned by Section 483.101,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develop a training program that provides training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signs and symptoms of an opioid-related drug overdose;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administration of an opioid antagonist.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make the training available online.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28, Alcoholic Beverage Code, is amended by adding Section 28.20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the holder of a mixed beverage permit and each employee of the permit holder who is required by the permit holder to complete a commission-approved seller training program shall complete the opioid-related drug overdose training program described by Section 5.61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mixed beverage permit holder that is a restaurant as defined by Section 1.04.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32, Alcoholic Beverage Code, is amended by adding Section 32.26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the holder of a private club registration permit and each employee of the permit holder who is required by the permit holder to complete a commission-approved seller training program shall complete the opioid-related drug overdose training program described by Section 5.61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holder of a private club registration permit that is a restaurant as defined by Section 1.04.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