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1000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decreasing the state sales and use tax rate.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151.051(b), Tax Code, is amended to read as follows:</w:t>
      </w:r>
    </w:p>
    <w:p w:rsidR="003F3435" w:rsidRDefault="0032493E">
      <w:pPr>
        <w:spacing w:line="480" w:lineRule="auto"/>
        <w:ind w:firstLine="720"/>
        <w:jc w:val="both"/>
      </w:pPr>
      <w:r>
        <w:t xml:space="preserve">(b)</w:t>
      </w:r>
      <w:r xml:space="preserve">
        <w:t> </w:t>
      </w:r>
      <w:r xml:space="preserve">
        <w:t> </w:t>
      </w:r>
      <w:r>
        <w:t xml:space="preserve">The sales tax rate is </w:t>
      </w:r>
      <w:r>
        <w:rPr>
          <w:u w:val="single"/>
        </w:rPr>
        <w:t xml:space="preserve">5.75</w:t>
      </w:r>
      <w:r>
        <w:t xml:space="preserve"> [</w:t>
      </w:r>
      <w:r>
        <w:rPr>
          <w:strike/>
        </w:rPr>
        <w:t xml:space="preserve">6-1/4</w:t>
      </w:r>
      <w:r>
        <w:t xml:space="preserve">] percent of the sales price of the taxable item sold.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That liability continues in effect as if the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