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1004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tampering with an electronic monitoring device and to certain consequences on conviction of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Penal Code, is amended by adding Section 38.112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38.112.</w:t>
      </w:r>
      <w:r>
        <w:rPr>
          <w:u w:val="single"/>
        </w:rPr>
        <w:t xml:space="preserve"> </w:t>
      </w:r>
      <w:r>
        <w:rPr>
          <w:u w:val="single"/>
        </w:rPr>
        <w:t xml:space="preserve"> </w:t>
      </w:r>
      <w:r>
        <w:rPr>
          <w:u w:val="single"/>
        </w:rPr>
        <w:t xml:space="preserve">TAMPERING WITH ELECTRONIC MONITORING DEVICE.  (a)  A person who is required to submit to electronic monitoring of the person's location as part of an electronic monitoring program under Article 42.035, Code of Criminal Procedure, or as a condition of community supervision, parole, mandatory supervision, or release on bail commits an offense if the person knowingly removes or disables, or causes or conspires or cooperates with another person to remove or disable, a tracking device that the person is required to wear to enable the electronic monitoring of the person's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 except that the offense is a felony of the third degree if the person is in the super-intensive supervision program described by Section 508.317(d),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the removal or disabling of a tracking device by a health care provider, as defined by Section 161.201, Health and Safety Code, due to medical necessity.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42.08, Code of Criminal Procedure, is amended by adding Subsection (b-1) to read as follows:</w:t>
      </w:r>
    </w:p>
    <w:p w:rsidR="003F3435" w:rsidRDefault="0032493E">
      <w:pPr>
        <w:spacing w:line="480" w:lineRule="auto"/>
        <w:ind w:firstLine="720"/>
        <w:jc w:val="both"/>
      </w:pPr>
      <w:r>
        <w:rPr>
          <w:u w:val="single"/>
        </w:rPr>
        <w:t xml:space="preserve">(b-1)(1)</w:t>
      </w:r>
      <w:r>
        <w:rPr>
          <w:u w:val="single"/>
        </w:rPr>
        <w:t xml:space="preserve"> </w:t>
      </w:r>
      <w:r>
        <w:rPr>
          <w:u w:val="single"/>
        </w:rPr>
        <w:t xml:space="preserve"> </w:t>
      </w:r>
      <w:r>
        <w:rPr>
          <w:u w:val="single"/>
        </w:rPr>
        <w:t xml:space="preserve">A judge sentencing a defendant convicted of an offense under Section 38.112, Penal Code, committed while on parole or mandatory supervision may order the sentence for the offense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run concurrently with the sentence for the offense for which the defendant was released on parole or to mandatory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defendant's parole or mandatory supervision has been revoked, commence immediately on completion of the sentence for the offense for which the defendant was released on parole or to mandatory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judge who orders a sentence to be imposed consecutively in the manner described by Subdivision (1)(B) shall, on pronouncing the sentence, order the defendant transferred to the custody of the Texas Department of Criminal Justice for purposes of serving the applicable sentences consecutively as described by that subdivision if the defendant has not been taken into custody by the department following the revocation of the defendant's parole or mandatory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