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Flores, Menéndez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1008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establishing residency for purposes of admission into public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25.001(c-2),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(c-2)</w:t>
      </w:r>
      <w:r xml:space="preserve">
        <w:t> </w:t>
      </w:r>
      <w:r xml:space="preserve">
        <w:t> </w:t>
      </w:r>
      <w:r>
        <w:t xml:space="preserve">A person who establishes residency as provided by Subsection (c-1) shall provide to the school district proof of residence in the district's attendance zone not later than the </w:t>
      </w:r>
      <w:r>
        <w:rPr>
          <w:u w:val="single"/>
        </w:rPr>
        <w:t xml:space="preserve">90th</w:t>
      </w:r>
      <w:r>
        <w:t xml:space="preserve"> [</w:t>
      </w:r>
      <w:r>
        <w:rPr>
          <w:strike/>
        </w:rPr>
        <w:t xml:space="preserve">10th</w:t>
      </w:r>
      <w:r>
        <w:t xml:space="preserve">] day after the arrival date specified in the order described by that subsection. </w:t>
      </w:r>
      <w:r>
        <w:t xml:space="preserve"> </w:t>
      </w:r>
      <w:r>
        <w:t xml:space="preserve">For purposes of this subsection, "residence" includes residence in a military temporary lodging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