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Education;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12, Nays 0;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