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88R8595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1010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the denial of bail to a person accused of committing certain trafficking or sexual offenses against a child while released on bail for committing a similar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 Code of Criminal Procedure, is amended by adding Article 17.154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17.154.</w:t>
      </w:r>
      <w:r>
        <w:rPr>
          <w:u w:val="single"/>
        </w:rPr>
        <w:t xml:space="preserve"> </w:t>
      </w:r>
      <w:r>
        <w:rPr>
          <w:u w:val="single"/>
        </w:rPr>
        <w:t xml:space="preserve"> </w:t>
      </w:r>
      <w:r>
        <w:rPr>
          <w:u w:val="single"/>
        </w:rPr>
        <w:t xml:space="preserve">DENIAL OF BAIL FOR COMMISSION OF TRAFFICKING OR SEXUAL OFFENSE AGAINST A CHILD WHILE ON BAIL FOR COMMITTING SIMILAR OFFENSE.  (a) This article applies to a defendant charged with an offense under any of the following provisions of the Penal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20.04(a)(4), if committed against a child younger than 17 years of age and the actor committed the offense with the intent to violate or abuse the victim sexually;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20A.02(a)(5), (6), (7), or (8);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20A.03, if based partly or wholly on conduct that constitutes an offense described by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21.02, involving a victim described by Subsection (b)(2)(A) of that section;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21.11(a)(1), if the actor committed the offense in a manner other than by touching, including touching through clothing, the breast of a child;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22.011(a)(2);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22.021, if the actor committed the offense in a manner described by Subsection (a)(1)(B) of that section;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Section 30.02, if the offense is punishable under Subsection (d) of that section and the actor committed the offense with the intent to commit an offense described by Subdivision (1), (5), (6), or (7);</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Section 43.05(a)(2); or</w:t>
      </w:r>
      <w:r>
        <w:t xml:space="preserve"> </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Section 43.25.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who is accused of committing an offense described by Subsection (a) while released on bail pending trial for another offense described by Subsection (a), shall be denied bail pending trial if a judge or magistrate, after a hearing, determines by a preponderance of the evidence that the person committed the offense while on bail.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judge or magistrate who grants bail to a defendant charged with an offense described by Subsection (a)  shall admonish the defendant that, if the defendant commits another offense described by Subsection (a) while on bail, the defendant shall be denied bail pending trial if a judge or magistrate, following a hearing, determines by a preponderance of the evidence that the person committed the offense while on bail.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person who is arrested on or after the effective date of this Act.</w:t>
      </w:r>
      <w:r xml:space="preserve">
        <w:t> </w:t>
      </w:r>
      <w:r xml:space="preserve">
        <w:t> </w:t>
      </w:r>
      <w:r>
        <w:t xml:space="preserve">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December 1, 2023, but only if the constitutional amendment proposed by the 88th Legislature, Regular Session, 2023, authorizing the legislature to enact laws providing for the denial of bail to a person accused of committing a trafficking or sexual offense against a child while released on bail for committing a similar offense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