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1011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Criminal Justice; April</w:t>
      </w:r>
      <w:r xml:space="preserve">
        <w:t> </w:t>
      </w:r>
      <w:r>
        <w:t xml:space="preserve">26,</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1011</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 recruited, enticed, or obtained the </w:t>
      </w:r>
      <w:r>
        <w:rPr>
          <w:u w:val="single"/>
        </w:rPr>
        <w:t xml:space="preserve">trafficked person</w:t>
      </w:r>
      <w:r>
        <w:t xml:space="preserve"> [</w:t>
      </w:r>
      <w:r>
        <w:rPr>
          <w:strike/>
        </w:rPr>
        <w:t xml:space="preserve">victim of the offense</w:t>
      </w:r>
      <w:r>
        <w:t xml:space="preserve">] from a</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shelter or facility operating as a residential treatment center that serves runaway youth, foster children, the homeless, or persons subjected to human trafficking, domestic violence, or sexual assault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