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88R9271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the use and disclosure of certain genetic material and genetic information; providing a civil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RESTRICTIONS ON USE AND DISCLOSURE OF CERTAIN GENETIC MATERIAL AND GENETIC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representative" means an individual who is authorized under state or federal law to make health care decisions on behalf of another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"DNA" means deoxyribonucleic acid.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"Genetic analysis" means a test of an individual's genetic material to determine the presence or absence of genetic characteristics in an individual.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"Genetic characteristic" means a scientifically or medically identifiable genetic or chromosomal variation, composition, or alteration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scientifically or medically believed to predispose an individual to a disease, disorder, or syndrome;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used to identify an individual or blood relative.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"Genetic information" means information related to the genetic characteristics of an individual that is derived from the results of a genetic analysis.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"Genetic material" means an individual's DNA, gene products, or chromosomes.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USE AND DISCLOSURE OF GENETIC MATERIAL OR GENETIC INFORMATION PROHIBITED; EXCEPTIONS.  (a)  Subject to other law other than Subsection (c) and unless an individual or the individual's authorized representative provides, in person or electronically, express consent,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the individual's genetic material or genetic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any analysis or test of the individual that requires the individual's genetic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retain the individual's genetic material or genetic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disclose, including through sale or donation, the individual's genetic material or genetic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an individual or the individual's authorized representative provides, in person or electronically, express consent if, after receiving a written disclosure statement that clearly and prominently describes the manner in which the individual's genetic material or genetic information or the results of an analysis or test of the individual's genetic material or genetic information will be collected, used, retained, maintained, or disclosed, the individual or representative takes an affirmative action demonstrating an intentional decision to provide consent.  The disclosure statement must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the proposed use of the individual's genetic material or genetic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individual's rights regarding the collection, use, retention, maintenance, or disclosure of the individual's genetic material or genetic information or the results of an analysis or test of the individual's genetic material or genetic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the genetic analysis, genetic collection, or other use for which the individual's genetic material or genetic information is obtained;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describe the nature of the resulting genetic material or genetic information, including a DNA profile, obtained from the genetic analysis, genetic collection, or other use of genetic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prohibitions under Subsection (a) do not apply to an individual's genetic material or genetic information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disclosed to the individual or the individual's authorized representative;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obtained from the individual's treating physician for use in the screening, diagnosis, or treatment of the individual by a clinical laboratory that is certified by the Centers for Medicare and Medicaid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disclosed as part of an authorized research project under which the identity and genetic </w:t>
      </w:r>
      <w:r>
        <w:rPr>
          <w:u w:val="single"/>
        </w:rPr>
        <w:t xml:space="preserve"> </w:t>
      </w:r>
      <w:r>
        <w:rPr>
          <w:u w:val="single"/>
        </w:rPr>
        <w:t xml:space="preserve">material of the individual is de-identified in accordance with the Health Insurance Portability and Accountability Act of 1996 (42 U.S.C. Section 1320d et seq.) or 45 C.F.R. Part 46;</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obtained or otherwise necessary for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an authorized law enforcement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comply with a court order;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an administrative order to determine the paternity of an individual or for another purpose;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identify a deceased individual;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to conduct a newborn screening test under Chapter 33;</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to provide emergency medical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under a third-party service contract or other obligation for the storage, retrieval, handling, or transmission of the DNA or DNA record;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to comply with federal law;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made public by the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(c)(2) does not waive any requirement for a physician to obtain informed consent from an individual before extracting genetic material from the individual for the performance of a genetic analysis or for another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the use of an individual's genetic material or genetic information permitted under Subsection (c) is restricted to only that permitted use and the material or information must be destroyed or returned to the individual or the individual's authorized representative immediately on completion of the permitted use.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obtains an individual's genetic material to perform a genetic analysis of the individual for a permitted use under Subsection (c) shall, immediately on completion of the genetic analysis, destroy the material and any genetic information obtained from the analysis unless the retention of the material or information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for a permitted use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specifically authorized by the individual or the individual's authorized representative.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individual or the individual's authorized representative may, subject to other law, inspect, correct, or obtain the individual's genetic material or genetic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CRIMINAL PENALTY.  (a)  A person commits an offense if the person violates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punishable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violation of this chapter, a fine of not less than $3,000 and not more than $4,000;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second and each subsequent violation of this chapter, a fine of not less than $4,000 and not more than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day a violation occurs or continues to occur constitutes a separate offense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174.004.</w:t>
      </w:r>
      <w:r>
        <w:rPr>
          <w:u w:val="single"/>
        </w:rPr>
        <w:t xml:space="preserve"> </w:t>
      </w:r>
      <w:r>
        <w:rPr>
          <w:u w:val="single"/>
        </w:rPr>
        <w:t xml:space="preserve"> </w:t>
      </w:r>
      <w:r>
        <w:rPr>
          <w:u w:val="single"/>
        </w:rPr>
        <w:t xml:space="preserve">INJUNCTIVE RELIEF; CIVIL PENALTY.  (a)  The attorney general may bring an action against a person who appears to be in violation of this chapter or is threatening to violate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injunction issued under this section, a court may include reasonable requirements to prevent any further violations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injunctive relief provided by Subsection (a), the attorney general may institute an action for civil penalties against a person for a violation of this chapter.  A civil penalty assessed under this section may not be less than $4,000 or more than $10,000 for each violation.  Each day a violation occurs or continues to occur is a separate violation for purposes of assessing a penalty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attorney's fees, investigative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shall file an action under this section in Travis County or in the county in which the violation occurred.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recovered in an action by the attorney general under this section shall be deposited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174.005.</w:t>
      </w:r>
      <w:r>
        <w:rPr>
          <w:u w:val="single"/>
        </w:rPr>
        <w:t xml:space="preserve"> </w:t>
      </w:r>
      <w:r>
        <w:rPr>
          <w:u w:val="single"/>
        </w:rPr>
        <w:t xml:space="preserve"> </w:t>
      </w:r>
      <w:r>
        <w:rPr>
          <w:u w:val="single"/>
        </w:rPr>
        <w:t xml:space="preserve">PRIVATE RIGHT OF ACTION.  (a)  An individual whose genetic material or genetic information is obtained, used, or disclosed in violation of this chapter may bring an action to enjoin or restrain a person from committing any further violations of this chapter and may seek damages in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a prevailing party in an action brought under this section reasonable attorney's fees and costs reasonably incurred with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174.006.</w:t>
      </w:r>
      <w:r>
        <w:rPr>
          <w:u w:val="single"/>
        </w:rPr>
        <w:t xml:space="preserve"> </w:t>
      </w:r>
      <w:r>
        <w:rPr>
          <w:u w:val="single"/>
        </w:rPr>
        <w:t xml:space="preserve"> </w:t>
      </w:r>
      <w:r>
        <w:rPr>
          <w:u w:val="single"/>
        </w:rPr>
        <w:t xml:space="preserve">WAIVER OF SOVEREIGN OR GOVERNMENTAL IMMUNITY.  Sovereign or governmental immunity, as applicable, of a governmental entity to suit and from liability is waived to the extent of liability created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174, Health and Safety Code, as added by this Act, applies only to the use or disclosure of genetic material or genetic information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