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1015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Business &amp; Commerce; March</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11, Nays 0;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1015</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periodic rate adjustments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36.210, Utilities Code, is amended by amending Subsections (a), (d), (f),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a regulatory authority</w:t>
      </w:r>
      <w:r>
        <w:t xml:space="preserve">], on the petition of an electric utility, may approve a tariff or rate schedule in which a nonfuel rate may be periodically adjusted upward or downward, based on changes in the parts of the utility's invested capital, as described by Section 36.053, that are categorized </w:t>
      </w:r>
      <w:r>
        <w:rPr>
          <w:u w:val="single"/>
        </w:rPr>
        <w:t xml:space="preserve">or functionalized</w:t>
      </w:r>
      <w:r>
        <w:t xml:space="preserve">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be approved or denied in accordance with an expedited procedure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for appropriate updates of information;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allows for participation by the office and affected parties;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extends for not less than 60 days;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be applied by an electric utility on a system-wide basis;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(d)</w:t>
      </w:r>
      <w:r xml:space="preserve">
        <w:t> </w:t>
      </w:r>
      <w:r xml:space="preserve">
        <w:t> </w:t>
      </w:r>
      <w:r>
        <w:rPr>
          <w:u w:val="single"/>
        </w:rPr>
        <w:t xml:space="preserve">An</w:t>
      </w:r>
      <w:r>
        <w:t xml:space="preserve"> [</w:t>
      </w:r>
      <w:r>
        <w:rPr>
          <w:strike/>
        </w:rPr>
        <w:t xml:space="preserve">Except as provided by Subsection (d-1), an</w:t>
      </w:r>
      <w:r>
        <w:t xml:space="preserve">] electric utility may adjust the utility's rates under this section not more than </w:t>
      </w:r>
      <w:r>
        <w:rPr>
          <w:u w:val="single"/>
        </w:rPr>
        <w:t xml:space="preserve">twice</w:t>
      </w:r>
      <w:r>
        <w:t xml:space="preserve"> [</w:t>
      </w:r>
      <w:r>
        <w:rPr>
          <w:strike/>
        </w:rPr>
        <w:t xml:space="preserve">once</w:t>
      </w:r>
      <w:r>
        <w:t xml:space="preserve">] per year [</w:t>
      </w:r>
      <w:r>
        <w:rPr>
          <w:strike/>
        </w:rPr>
        <w:t xml:space="preserve">and not more than four times between comprehensive base rate proceedings</w:t>
      </w:r>
      <w:r>
        <w:t xml:space="preserve">].</w:t>
      </w:r>
    </w:p>
    <w:p w:rsidR="003F3435" w:rsidRDefault="0032493E">
      <w:pPr>
        <w:spacing w:line="480" w:lineRule="auto"/>
        <w:ind w:firstLine="720"/>
        <w:jc w:val="both"/>
      </w:pPr>
      <w:r>
        <w:t xml:space="preserve">(f)</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conflict with a provision contained in a financing order issued under Subchapter I of this chapter or Subchapter G or J, Chapter 39;</w:t>
      </w:r>
    </w:p>
    <w:p w:rsidR="003F3435" w:rsidRDefault="0032493E">
      <w:pPr>
        <w:spacing w:line="480" w:lineRule="auto"/>
        <w:ind w:firstLine="1440"/>
        <w:jc w:val="both"/>
      </w:pPr>
      <w:r>
        <w:t xml:space="preserve">(2)</w:t>
      </w:r>
      <w:r xml:space="preserve">
        <w:t> </w:t>
      </w:r>
      <w:r xml:space="preserve">
        <w:t> </w:t>
      </w:r>
      <w:r>
        <w:t xml:space="preserve">affect the limitation on the commission's jurisdiction under Section 32.002;</w:t>
      </w:r>
    </w:p>
    <w:p w:rsidR="003F3435" w:rsidRDefault="0032493E">
      <w:pPr>
        <w:spacing w:line="480" w:lineRule="auto"/>
        <w:ind w:firstLine="1440"/>
        <w:jc w:val="both"/>
      </w:pPr>
      <w:r>
        <w:t xml:space="preserve">(3)</w:t>
      </w:r>
      <w:r xml:space="preserve">
        <w:t> </w:t>
      </w:r>
      <w:r xml:space="preserve">
        <w:t> </w:t>
      </w:r>
      <w:r>
        <w:t xml:space="preserve">include in a periodic rate adjustment authorized by this section costs adjusted under a transmission cost-of-service adjustment approved under Section 35.004(d);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limit the jurisdiction of a municipality over the rates, operations, and services of an electric utility as provided by Section 33.001;</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limit the ability of a municipality to obtain a reimbursement under Section 33.023 for the reasonable cost of services of a person engaged in an activity described by that section;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prevent the commission from:</w:t>
      </w:r>
    </w:p>
    <w:p w:rsidR="003F3435" w:rsidRDefault="0032493E">
      <w:pPr>
        <w:spacing w:line="480" w:lineRule="auto"/>
        <w:ind w:firstLine="2160"/>
        <w:jc w:val="both"/>
      </w:pPr>
      <w:r>
        <w:t xml:space="preserve">(A)</w:t>
      </w:r>
      <w:r xml:space="preserve">
        <w:t> </w:t>
      </w:r>
      <w:r xml:space="preserve">
        <w:t> </w:t>
      </w:r>
      <w:r>
        <w:t xml:space="preserve">reviewing the investment costs included in a periodic rate adjustment or in the following comprehensive base rate proceeding to determine whether the costs were prudent, reasonable, and necessary; or</w:t>
      </w:r>
    </w:p>
    <w:p w:rsidR="003F3435" w:rsidRDefault="0032493E">
      <w:pPr>
        <w:spacing w:line="480" w:lineRule="auto"/>
        <w:ind w:firstLine="2160"/>
        <w:jc w:val="both"/>
      </w:pPr>
      <w:r>
        <w:t xml:space="preserve">(B)</w:t>
      </w:r>
      <w:r xml:space="preserve">
        <w:t> </w:t>
      </w:r>
      <w:r xml:space="preserve">
        <w:t> </w:t>
      </w:r>
      <w:r>
        <w:t xml:space="preserve">refunding to customers any amount improperly recovered through the periodic rate adjustments, with appropriate carrying costs.</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w:t>
      </w:r>
      <w:r>
        <w:rPr>
          <w:strike/>
        </w:rPr>
        <w:t xml:space="preserve">the expedited procedure described by</w:t>
      </w:r>
      <w:r>
        <w:t xml:space="preserve">] Subsection </w:t>
      </w:r>
      <w:r>
        <w:rPr>
          <w:u w:val="single"/>
        </w:rPr>
        <w:t xml:space="preserve">(a)</w:t>
      </w:r>
      <w:r>
        <w:t xml:space="preserve"> </w:t>
      </w:r>
      <w:r>
        <w:t xml:space="preserve">[</w:t>
      </w:r>
      <w:r>
        <w:rPr>
          <w:strike/>
        </w:rPr>
        <w:t xml:space="preserve">(a)(1)</w:t>
      </w:r>
      <w:r>
        <w:t xml:space="preserve">];</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w:t>
      </w:r>
      <w:r>
        <w:rPr>
          <w:strike/>
        </w:rPr>
        <w:t xml:space="preserve">or regulatory authority</w:t>
      </w:r>
      <w:r>
        <w:t xml:space="preserve">]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may file a request for a periodic rate adjustment under this section on any day on which the commission is open for business.  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enter a final order on a request for a periodic rate adjustment under this section not later than the 60th day after the date the request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36.210(d-1),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before the Public Utility Commission of Texas, or other regulatory authority described by Section 11.003, Utilities Code, that commences on or after the effective date of this Act. A proceeding before the Public Utility Commission of Texas or other regulatory authority described by Section 11.003, Utilities Code, that commenced before the effective date of this Act is governed by the law in effect on the date the proceeding commenced,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