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88R9027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1017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regulate an energy source or engine.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w:t>
      </w:r>
      <w:r>
        <w:rPr>
          <w:u w:val="single"/>
        </w:rPr>
        <w:t xml:space="preserve"> </w:t>
      </w:r>
      <w:r>
        <w:rPr>
          <w:u w:val="single"/>
        </w:rPr>
        <w:t xml:space="preserve">REGULATION OF ENERGY SOURCES AND ENGINES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source" means any fuel or power source used to power an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"Engine" means a machine for converting an energy source into mechanical force and motion, including a generator or an internal combustion engine.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"Political subdivision" includes a county, municipality, special district, school district, junior college district, or housing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service station" has the meaning assigned by Section 753.001,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RESTRICTION ON REGULATION OF ENERGY SOURCES.  A political subdivision may not adopt or enforce an ordinance, order, regulation, or similar measure that limits access to an energy source or that results in the effective prohibition of a wholesaler, retailer, energy producer, or related infrastructure, including a retail service station, that is necessary to provide access to a specific energy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RESTRICTION ON REGULATION OF ENGINES.  (a) </w:t>
      </w:r>
      <w:r>
        <w:rPr>
          <w:u w:val="single"/>
        </w:rPr>
        <w:t xml:space="preserve"> </w:t>
      </w:r>
      <w:r>
        <w:rPr>
          <w:u w:val="single"/>
        </w:rPr>
        <w:t xml:space="preserve">A political subdivision may not adopt or enforce an ordinance, order, regulation, or similar measure that directly or indirectly prohibits or restricts the use, sale, or lease of an engine based on its fuel source.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relating to an engine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effectively prohibit or restrict the use, sale, or lease of the engine;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preempted by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81.0523, Natural Resources Code, prevails to the extent of a conflict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