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Hall</w:t>
      </w:r>
      <w:r xml:space="preserve">
        <w:tab wTab="150" tlc="none" cTlc="0"/>
      </w:r>
      <w:r>
        <w:t xml:space="preserve">S.B.</w:t>
      </w:r>
      <w:r xml:space="preserve">
        <w:t> </w:t>
      </w:r>
      <w:r>
        <w:t xml:space="preserve">No.</w:t>
      </w:r>
      <w:r xml:space="preserve">
        <w:t> </w:t>
      </w:r>
      <w:r>
        <w:t xml:space="preserve">1017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Business &amp; Commerce;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1017</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w:t>
      </w:r>
      <w:r>
        <w:rPr>
          <w:u w:val="single"/>
        </w:rPr>
        <w:t xml:space="preserve"> </w:t>
      </w:r>
      <w:r>
        <w:rPr>
          <w:u w:val="single"/>
        </w:rPr>
        <w:t xml:space="preserve">(a) </w:t>
      </w:r>
      <w:r>
        <w:rPr>
          <w:u w:val="single"/>
        </w:rPr>
        <w:t xml:space="preserve"> </w:t>
      </w:r>
      <w:r>
        <w:rPr>
          <w:u w:val="single"/>
        </w:rPr>
        <w:t xml:space="preserve">A political subdivision may not adopt or enforce an ordinance, order, regulation, or similar measure that limits access to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siting requirements, including siting requirements involving certain geographic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implements an agreement between the political subdivision and the Texas Commission on Environmental Quality to regulate motor vehicle idling under Section 382.019,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affects an engine owned or operated by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authority of a political subdivision to adopt an ordinance, order, regulation, resolution, policy, or other similar measure to encourage, promote, or provide rebates for cleaner engines and cleaner fuel sources and that does not directly or effectively ban, restrict, or prohibit the use, sale, or lease of an engine based on the engine's fuel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