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handling of bids on certain contracts for highway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223.005, Transportation Code, is amended to read as follows:</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w:t>
      </w:r>
      <w:r>
        <w:rPr>
          <w:u w:val="single"/>
        </w:rPr>
        <w:t xml:space="preserve">$1 MILLION</w:t>
      </w:r>
      <w:r>
        <w:t xml:space="preserve"> [</w:t>
      </w:r>
      <w:r>
        <w:rPr>
          <w:strike/>
        </w:rPr>
        <w:t xml:space="preserve">$300,000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may allow bids on a contract estimated by the department to involve an amount less than </w:t>
      </w:r>
      <w:r>
        <w:rPr>
          <w:u w:val="single"/>
        </w:rPr>
        <w:t xml:space="preserve">$1 million</w:t>
      </w:r>
      <w:r>
        <w:t xml:space="preserve"> [</w:t>
      </w:r>
      <w:r>
        <w:rPr>
          <w:strike/>
        </w:rPr>
        <w:t xml:space="preserve">$300,000</w:t>
      </w:r>
      <w:r>
        <w:t xml:space="preserve">] to be filed with</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contract other than a building construction contract,</w:t>
      </w:r>
      <w:r>
        <w:t xml:space="preserve"> the district engineer at the headquarters for the district in which the improvement is to be made and opened and read at a public meeting held by the district engineer or the district engineer's designee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building construction contract, the director of the division of the department that is responsible for the construction of the building and opened and read at a public meeting held by the division director or the division director's designee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bids for which the notice of bid is given on or after the effective date of this Act. </w:t>
      </w:r>
      <w:r>
        <w:t xml:space="preserve"> </w:t>
      </w:r>
      <w:r>
        <w:t xml:space="preserve">A notice of bid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1021 passed the Senate on April 3, 2023, by the following vote:  Yeas</w:t>
      </w:r>
      <w:r xml:space="preserve">
        <w:t> </w:t>
      </w:r>
      <w:r>
        <w:t xml:space="preserve">31, Nays</w:t>
      </w:r>
      <w:r xml:space="preserve">
        <w:t> </w:t>
      </w:r>
      <w:r>
        <w:t xml:space="preserve">0; and that the Senate concurred in House amendment on May 11, 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1021 passed the House, with amendment, on May 5, 2023, by the following vote:  Yeas</w:t>
      </w:r>
      <w:r xml:space="preserve">
        <w:t> </w:t>
      </w:r>
      <w:r>
        <w:t xml:space="preserve">145,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