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1023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and posting of the maximum loads permitted on certain bridges.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201.8035, Transportation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post a notice required under Subsection (b) for a bridge under the jurisdiction of a county or a municipality if the department is required or authorized under federal law to post the notice.  The notice must be posted in accordance with federal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1023 passed the Senate on April</w:t>
      </w:r>
      <w:r xml:space="preserve">
        <w:t> </w:t>
      </w:r>
      <w:r>
        <w:t xml:space="preserve">3,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1023 passed the House on May</w:t>
      </w:r>
      <w:r xml:space="preserve">
        <w:t> </w:t>
      </w:r>
      <w:r>
        <w:t xml:space="preserve">5,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145, Nays</w:t>
      </w:r>
      <w:r xml:space="preserve">
        <w:t> </w:t>
      </w:r>
      <w:r>
        <w:t xml:space="preserve">0, two</w:t>
      </w:r>
      <w:r xml:space="preserve">
        <w:t> </w:t>
      </w:r>
      <w:r>
        <w:t xml:space="preserve">present</w:t>
      </w:r>
      <w:r xml:space="preserve">
        <w:t> </w:t>
      </w:r>
      <w:r>
        <w:t xml:space="preserve">not</w:t>
      </w:r>
      <w:r xml:space="preserve">
        <w:t> </w:t>
      </w:r>
      <w:r>
        <w:t xml:space="preserve">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