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88R4449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and posting of the maximum loads permitted on certain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201.8035, Transportation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post a notice required under Subsection (b) for a bridge under the jurisdiction of a county or a municipality if the department is required or authorized under federal law to post the notice.  The notice must be posted in accordance with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