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1023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Transportation; March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March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establishment and posting of the maximum loads permitted on certain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201.8035, Transportation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post a notice required under Subsection (b) for a bridge under the jurisdiction of a county or a municipality if the department is required or authorized under federal law to post the notice.  The notice must be posted in accordance with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