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88R8271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injured employee for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408.161, Labor Code, is amended by amending Subsection (a)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resulting in </w:t>
      </w:r>
      <w:r>
        <w:rPr>
          <w:u w:val="single"/>
        </w:rPr>
        <w:t xml:space="preserve">a permanent major neurocognitive disorder or a psychotic disorder</w:t>
      </w:r>
      <w:r>
        <w:t xml:space="preserve"> [</w:t>
      </w:r>
      <w:r>
        <w:rPr>
          <w:strike/>
        </w:rPr>
        <w:t xml:space="preserve">incurable insanity or imbecility</w:t>
      </w:r>
      <w:r>
        <w:t xml:space="preserv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feet;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and one foot;</w:t>
      </w:r>
      <w:r>
        <w:t xml:space="preserve"> or</w:t>
      </w:r>
    </w:p>
    <w:p w:rsidR="003F3435" w:rsidRDefault="0032493E">
      <w:pPr>
        <w:spacing w:line="480" w:lineRule="auto"/>
        <w:ind w:firstLine="2160"/>
        <w:jc w:val="both"/>
      </w:pPr>
      <w:r>
        <w:rPr>
          <w:u w:val="single"/>
        </w:rPr>
        <w:t xml:space="preserve">(D)</w:t>
      </w:r>
      <w:r xml:space="preserve">
        <w:t> </w:t>
      </w:r>
      <w:r xml:space="preserve">
        <w:t> </w:t>
      </w:r>
      <w:r>
        <w:t xml:space="preserve">one hand </w:t>
      </w:r>
      <w:r>
        <w:rPr>
          <w:u w:val="single"/>
        </w:rPr>
        <w:t xml:space="preserve">or foot</w:t>
      </w:r>
      <w:r>
        <w:t xml:space="preserve"> and the face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serious bodily injury sustained by the employee in the course and scope of the employee's employment or volunteer service as a first responder that permanently prevents the employee from performing any gainful work</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Adjudication of lifetime income benefits for a first responder may proceed in the manner prescribed for an expedited proceeding under Section 504.055.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