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88R1491 GCB-D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1037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establishing a committee to develop school safety and security rules and standards for newly constructed school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7.061, Education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In adopting or amending rules under Subsection (b), the commissioner shall incorporate the new school facility safety and security rules and standards developed under Section 7.0615.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7, Education Code, is amended by adding Section 7.0615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7.0615.</w:t>
      </w:r>
      <w:r>
        <w:rPr>
          <w:u w:val="single"/>
        </w:rPr>
        <w:t xml:space="preserve"> </w:t>
      </w:r>
      <w:r>
        <w:rPr>
          <w:u w:val="single"/>
        </w:rPr>
        <w:t xml:space="preserve"> </w:t>
      </w:r>
      <w:r>
        <w:rPr>
          <w:u w:val="single"/>
        </w:rPr>
        <w:t xml:space="preserve">NEW SCHOOL FACILITY SAFETY AND SECURITY RULES AND STANDARDS.  (a) The commissioner, in collaboration with the Texas School Safety Center, shall establish a committee to develop rules and standards for required school safety and security features for newly constructed school district and open-enrollment charter school facilities.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school district or open-enrollment charter school facility for which construction commences on or after January 1, 2024, must comply with the rules and standards developed by the committee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publish the rules and standards developed under this section on the agency's Internet website.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Not later than October 1, 2023, the commissioner of the Texas Education Agency, in collaboration with the Texas School Safety Center, shall establish the committee required under Section 7.0615, Education Code, as added by this Act.</w:t>
      </w:r>
    </w:p>
    <w:p w:rsidR="003F3435" w:rsidRDefault="0032493E">
      <w:pPr>
        <w:spacing w:line="480" w:lineRule="auto"/>
        <w:ind w:firstLine="720"/>
        <w:jc w:val="both"/>
      </w:pPr>
      <w:r>
        <w:t xml:space="preserve">(b)</w:t>
      </w:r>
      <w:r xml:space="preserve">
        <w:t> </w:t>
      </w:r>
      <w:r xml:space="preserve">
        <w:t> </w:t>
      </w:r>
      <w:r>
        <w:t xml:space="preserve">Not later than December 1, 2023, the Texas Education Agency shall publish on its Internet website the rules and standards developed under Section 7.0615, Education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