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88R4503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  A local distribution company may recover costs prudently incurred to implement one or more energy conservation programs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applies to the railroad commission at least once every three years under this subchapter for review and approval of the company's energy conservation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railroad commission approves cost recovery for the company's energy conservation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all costs incurred in implementing an energy conservation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costs incurred to design, market, implement, administer, and deliver an energy conservation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equal to the reduction in the local distribution company's marginal revenues due to the lower sales or demand resulting from the energy conservation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associated with an energy conservation program are allocated to the customer classes eligible for participation in the energy conservation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local distribution company may purchase carbon offsets or credits to meet stated conservation objectives in the company's energy conservation programs and is entitled to recover the costs of the carbon offsets or credits through a purchased gas adjustment for operational emissions or as a regulatory asset for recovery in a future proceeding.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