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Natural Resources &amp; Economic Development;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1050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A local distribution company may recover costs prudently incurred to implement one or more energy conservation programs, including costs incurred to design, market, implement, administer, and deliver an energy conservation program and an amount equal to the reduction in the local distribution company's marginal revenues due to the lower sales or demand resulting from the energy conservation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applies to the railroad commission at least once every three years under this subchapter for review and approval of the company's energy conservation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railroad commission approves cost recovery for the company's energy conservation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