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1051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uniform coordination of benefits questionnaire for health benefit plans.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1203, Insurance Code, is amended by adding Subchapter C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C. </w:t>
      </w:r>
      <w:r>
        <w:rPr>
          <w:u w:val="single"/>
        </w:rPr>
        <w:t xml:space="preserve"> </w:t>
      </w:r>
      <w:r>
        <w:rPr>
          <w:u w:val="single"/>
        </w:rPr>
        <w:t xml:space="preserve">COORDINATION OF BENEFITS QUESTIONNAIRE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1203.101.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 OF SUBCHAPTER.  (a)  This subchapter applies only to a health benefit plan that provides benefits for medical or surgical expenses incurred as a result of a health condition, accident, or sickness, including an individual, group, blanket, or franchise insurance policy or insurance agreement, a group hospital service contract, or an individual or group evidence of coverage or similar coverage document that is issued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insurance company;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group hospital service corporation operating under Chapter 842;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maintenance organization operating under Chapter 843;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approved nonprofit health corporation that holds a certificate of authority under Chapter 844;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multiple employer welfare arrangement that holds a certificate of authority under Chapter 846;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stipulated premium company operating under Chapter 884;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Lloyd's plan operating under Chapter 941;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exchange operating under Chapter 942.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this subchapter applies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small employer health benefit plan subject to Chapter 1501, including coverage provided through a health group cooperative under Subchapter B of that chapter;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standard health benefit plan issued under Chapter 1507;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basic coverage plan under Chapter 1551;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basic plan under Chapter 1575;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primary care coverage plan under Chapter 1579;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plan providing basic coverage under Chapter 1601;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nonprofit agricultural organization health benefits offered by a nonprofit agricultural organization under Chapter 1682;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alternative health benefit coverage offered by a subsidiary of the Texas Mutual Insurance Company under Subchapter M, Chapter 2054;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group health coverage made available by a school district in accordance with Section 22.004, Education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Medicaid program, including the Medicaid managed care program operated under Chapter 533, Government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child health plan program under Chapter 62, Health and Safety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regional or local health care program operated under Section 75.104, Health and Safety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self-funded health benefit plan sponsored by a professional employer organization under Chapter 91, Labor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1203.102.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CREATION OF UNIFORM COORDINATION OF BENEFITS QUESTIONNAIRE.  In collaboration with appropriate stakeholders, the commissioner shall adopt rules establishing a uniform coordination of benefits questionnaire to be used by all health benefit plan issuers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1203.103.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UNIFORM COORDINATION OF BENEFITS QUESTIONNAIRE REQUIRED.  Each health benefit plan issuer that issues a health benefit plan that includes a coordination of benefits provision shall use the uniform coordination of benefits questionnaire established under Section 1203.102 and make the questionnaire available to health care providers as appropriate.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(a) </w:t>
      </w:r>
      <w:r>
        <w:t xml:space="preserve"> </w:t>
      </w:r>
      <w:r>
        <w:t xml:space="preserve">Not later than January 1, 2024, the commissioner of insurance shall adopt rules establishing the uniform coordination of benefits questionnaire under Section 1203.102, Insurance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changes in law made by this Act apply only to the use of a coordination of benefits questionnaire on or after February 1, 2024.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