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1051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uniform coordination of benefits questionnaire for health benefit plans.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1203, Insurance Code, is amended by adding Subchapter C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 C. </w:t>
      </w:r>
      <w:r>
        <w:rPr>
          <w:u w:val="single"/>
        </w:rPr>
        <w:t xml:space="preserve"> </w:t>
      </w:r>
      <w:r>
        <w:rPr>
          <w:u w:val="single"/>
        </w:rPr>
        <w:t xml:space="preserve">COORDINATION OF BENEFITS QUESTIONNAIRE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1203.101.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APPLICABILITY OF SUBCHAPTER.  (a)  This subchapter applies only to a health benefit plan that provides benefits for medical or surgical expenses incurred as a result of a health condition, accident, or sickness, including an individual, group, blanket, or franchise insurance policy or insurance agreement, a group hospital service contract, or an individual or group evidence of coverage or similar coverage document that is issued by: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insurance company;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group hospital service corporation operating under Chapter 842;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health maintenance organization operating under Chapter 843;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approved nonprofit health corporation that holds a certificate of authority under Chapter 844;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multiple employer welfare arrangement that holds a certificate of authority under Chapter 846;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stipulated premium company operating under Chapter 884;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Lloyd's plan operating under Chapter 941;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(8)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exchange operating under Chapter 942.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any other law, this subchapter applies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small employer health benefit plan subject to Chapter 1501, including coverage provided through a health group cooperative under Subchapter B of that chapter;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standard health benefit plan issued under Chapter 1507;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basic coverage plan under Chapter 1551;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basic plan under Chapter 1575;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primary care coverage plan under Chapter 1579;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plan providing basic coverage under Chapter 1601;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alternative health benefit coverage offered by a subsidiary of the Texas Mutual Insurance Company under Subchapter M, Chapter 2054;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(8)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group health coverage made available by a school district in accordance with Section 22.004, Education Code;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(9)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state Medicaid program, including the Medicaid managed care program operated under Chapter 533, Government Code;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(10)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child health plan program under Chapter 62, Health and Safety Code;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regional or local health care program operated under Section 75.104, Health and Safety Code;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self-funded health benefit plan sponsored by a professional employer organization under Chapter 91, Labor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1203.102.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CREATION OF UNIFORM COORDINATION OF BENEFITS QUESTIONNAIRE.  In collaboration with appropriate stakeholders, the commissioner shall adopt rules establishing a uniform coordination of benefits questionnaire to be used by all health benefit plan issuers in this state.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1203.103.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UNIFORM COORDINATION OF BENEFITS QUESTIONNAIRE REQUIRED.  Each health benefit plan issuer that issues a health benefit plan that includes a coordination of benefits provision shall use the uniform coordination of benefits questionnaire established under Section 1203.102 and make the questionnaire available to health care providers as appropriate.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(a) </w:t>
      </w:r>
      <w:r>
        <w:t xml:space="preserve"> </w:t>
      </w:r>
      <w:r>
        <w:t xml:space="preserve">Not later than January 1, 2024, the commissioner of insurance shall adopt rules establishing the uniform coordination of benefits questionnaire under Section 1203.102, Insurance Code, as added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changes in law made by this Act apply only to the use of a coordination of benefits questionnaire on or after February 1, 2024.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2023.</w:t>
      </w:r>
    </w:p>
    <w:p>
      <w:r>
        <w:br w:type="page"/>
      </w:r>
    </w:p>
    <w:p w:rsidR="003F3435" w:rsidRDefault="0032493E">
      <w:pPr>
        <w:spacing w:line="480" w:lineRule="auto"/>
        <w:jc w:val="both"/>
      </w:pPr>
    </w:p>
    <w:p w:rsidR="003F3435" w:rsidRDefault="003F3435"/>
    <w:p w:rsidR="003F3435" w:rsidRDefault="003F3435"/>
    <w:p w:rsidR="003F3435" w:rsidRDefault="0032493E">
      <w:pPr>
        <w:jc w:val="center"/>
      </w:pPr>
      <w:r>
        <w:t xml:space="preserve">______________________________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1051 passed the Senate on April</w:t>
      </w:r>
      <w:r xml:space="preserve">
        <w:t> </w:t>
      </w:r>
      <w:r>
        <w:t xml:space="preserve">24,</w:t>
      </w:r>
      <w:r xml:space="preserve">
        <w:t> </w:t>
      </w:r>
      <w:r>
        <w:t xml:space="preserve">2023, by the following vote:  Yeas</w:t>
      </w:r>
      <w:r xml:space="preserve">
        <w:t> </w:t>
      </w:r>
      <w:r>
        <w:t xml:space="preserve">30, Nays</w:t>
      </w:r>
      <w:r xml:space="preserve">
        <w:t> </w:t>
      </w:r>
      <w:r>
        <w:t xml:space="preserve">0; and that the Senate concurred in House amendment on May</w:t>
      </w:r>
      <w:r xml:space="preserve">
        <w:t> </w:t>
      </w:r>
      <w:r>
        <w:t xml:space="preserve">25,</w:t>
      </w:r>
      <w:r xml:space="preserve">
        <w:t> </w:t>
      </w:r>
      <w:r>
        <w:t xml:space="preserve">2023, by the following vote:  Yeas</w:t>
      </w:r>
      <w:r xml:space="preserve">
        <w:t> </w:t>
      </w:r>
      <w:r>
        <w:t xml:space="preserve">31, Nays</w:t>
      </w:r>
      <w:r xml:space="preserve">
        <w:t> </w:t>
      </w:r>
      <w:r>
        <w:t xml:space="preserve">0.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1051 passed the House, with amendment, on May</w:t>
      </w:r>
      <w:r xml:space="preserve">
        <w:t> </w:t>
      </w:r>
      <w:r>
        <w:t xml:space="preserve">19,</w:t>
      </w:r>
      <w:r xml:space="preserve">
        <w:t> </w:t>
      </w:r>
      <w:r>
        <w:t xml:space="preserve">2023, by the following vote:  Yeas</w:t>
      </w:r>
      <w:r xml:space="preserve">
        <w:t> </w:t>
      </w:r>
      <w:r>
        <w:t xml:space="preserve">133, Nays</w:t>
      </w:r>
      <w:r xml:space="preserve">
        <w:t> </w:t>
      </w:r>
      <w:r>
        <w:t xml:space="preserve">10, two present not 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1051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