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1062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inclusion of certain proposals in reports on the actuarial experience of the Employees Retirement System of Texas and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815.206, Government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actuarial experience study or other report on an actuarial investigation of mortality, service, and compensation experience conducted under Subsection (c) must include at least one proposal that seeks to achieve or maintain an amortization period not exceeding 30 years by one or more years without additional or increased contributions from the state. </w:t>
      </w:r>
      <w:r>
        <w:rPr>
          <w:u w:val="single"/>
        </w:rPr>
        <w:t xml:space="preserve"> </w:t>
      </w:r>
      <w:r>
        <w:rPr>
          <w:u w:val="single"/>
        </w:rPr>
        <w:t xml:space="preserve">The proposal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changes to benefits;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increased or additional contributions from members or the members' employers;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changes to the assumed rate of return on investments.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825.206, Government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An actuarial experience study or other report on an actuarial investigation of mortality, service, and compensation experience conducted under Subsection (b) must include at least one proposal that seeks to achieve or maintain an amortization period not exceeding 30 years by one or more years without additional or increased contributions from the state. </w:t>
      </w:r>
      <w:r>
        <w:rPr>
          <w:u w:val="single"/>
        </w:rPr>
        <w:t xml:space="preserve"> </w:t>
      </w:r>
      <w:r>
        <w:rPr>
          <w:u w:val="single"/>
        </w:rPr>
        <w:t xml:space="preserve">The proposal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changes to benefits;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increased or additional contributions from members or the members'</w:t>
      </w:r>
      <w:r>
        <w:rPr>
          <w:u w:val="single"/>
        </w:rPr>
        <w:t xml:space="preserve"> </w:t>
      </w:r>
      <w:r>
        <w:rPr>
          <w:u w:val="single"/>
        </w:rPr>
        <w:t xml:space="preserve">employers;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changes to the assumed rate of return on investments.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