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88R473 SMH-D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1065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 on increases in the appraised value of a residence homestead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23.23, Tax Code, is amended by amending Subsections (a), (b), and (c) and adding Subsections (a-1), (a-2), (a-3), (a-4), (a-5), (a-6), (a-7), and (c-2)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Notwithstanding the requirements of Section 25.18 and regardless of whether the appraisal office has appraised the property and determined the market value of the property for the tax year, an appraisal office may increase the</w:t>
      </w:r>
      <w:r>
        <w:t xml:space="preserve">] appraised value of a residence homestead for a tax year </w:t>
      </w:r>
      <w:r>
        <w:rPr>
          <w:u w:val="single"/>
        </w:rPr>
        <w:t xml:space="preserve">is equal</w:t>
      </w:r>
      <w:r>
        <w:t xml:space="preserve"> to [</w:t>
      </w:r>
      <w:r>
        <w:rPr>
          <w:strike/>
        </w:rPr>
        <w:t xml:space="preserve">an amount not to exceed the lesser of:</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market value of the property for the </w:t>
      </w:r>
      <w:r>
        <w:rPr>
          <w:u w:val="single"/>
        </w:rPr>
        <w:t xml:space="preserve">first</w:t>
      </w:r>
      <w:r>
        <w:t xml:space="preserve"> [</w:t>
      </w:r>
      <w:r>
        <w:rPr>
          <w:strike/>
        </w:rPr>
        <w:t xml:space="preserve">most recent</w:t>
      </w:r>
      <w:r>
        <w:t xml:space="preserve">] tax year that the </w:t>
      </w:r>
      <w:r>
        <w:rPr>
          <w:u w:val="single"/>
        </w:rPr>
        <w:t xml:space="preserve">owner qualified the property for an exemption under Section 11.13</w:t>
      </w:r>
      <w:r>
        <w:t xml:space="preserve"> [</w:t>
      </w:r>
      <w:r>
        <w:rPr>
          <w:strike/>
        </w:rPr>
        <w:t xml:space="preserve">market value was determined by the appraisal office;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sum of: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10 percent of the appraised value of the property for the preceding tax year;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appraised value of the property for the preceding tax year;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market value of all new improvements to the property</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if the owner of real property qualified the property for an exemption under Section 11.13 and the owner acquired the property as a bona fide purchaser for value, the appraised value of the property is equal to the purchase price of the property paid by the owner.</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If the first tax year the property owner qualified the property for an exemption under Section 11.13 was a tax year before the 2024 tax year, the appraised value of the property as shown on the 2023 appraisal roll is considered to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market value of the property for the first tax year that the owner qualified the property for an exemption under Section 11.13 for purposes of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price of the property paid by the owner for purposes of Subsection (a-1).</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Subsection (a-1) does not apply to a residence homestead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purchase was made: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pursuant to a court order;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from a trustee in bankruptcy;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by one co-owner from one or more other co-owners;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from a spouse or a person or persons within the first or second degree of lineal consanguinity of one or more of the purchasers;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from a governmental entity;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chief appraiser determines that the applicant was not a bona fide purchaser for value under criteria established by rules adopted by the comptroller for that purpose.</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To receive a limitation on appraised value under Subsection (a-1), an owner of the property must apply for the limitation.  To apply for the limitation, the owner must file an application with the chief appraiser for each appraisal district in which the property subject to the claimed limitation is located.  The application must be filed not later than the latest date on which the owner may file an application for an exemption under Section 11.13 on the property for the year under Section 11.43.  The comptroller by rule shall prescribe the form for the application to ensure that the applicant provides the information necessary to determine the applicant's eligibility for the limitation, including the purchase price of the property paid by the applicant.</w:t>
      </w:r>
    </w:p>
    <w:p w:rsidR="003F3435" w:rsidRDefault="0032493E">
      <w:pPr>
        <w:spacing w:line="480" w:lineRule="auto"/>
        <w:ind w:firstLine="720"/>
        <w:jc w:val="both"/>
      </w:pPr>
      <w:r>
        <w:rPr>
          <w:u w:val="single"/>
        </w:rPr>
        <w:t xml:space="preserve">(a-5)</w:t>
      </w:r>
      <w:r>
        <w:rPr>
          <w:u w:val="single"/>
        </w:rPr>
        <w:t xml:space="preserve"> </w:t>
      </w:r>
      <w:r>
        <w:rPr>
          <w:u w:val="single"/>
        </w:rPr>
        <w:t xml:space="preserve"> </w:t>
      </w:r>
      <w:r>
        <w:rPr>
          <w:u w:val="single"/>
        </w:rPr>
        <w:t xml:space="preserve">An application filed with a chief appraiser under Subsection (a-4) is confidential and not open to public inspection.  The application and the information it contains may not be disclosed to another person other than an employee of the appraisal district who appraises property, except as provided by Subsection (a-6).</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Information that is confidential under Subsection (a-5) may be disclosed: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judicial or administrative proceeding under a lawful subpoena;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 purchaser, grantee, seller, or grantor named in the application or in the deed to which the application applies or to a representative of the purchaser, grantee, seller, or grantor under a written authorization signed by the purchaser, grantee, seller, or grantor;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the comptroller or to an assessor for a taxing unit in which the property described in the application is located;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a judicial or administrative proceeding related to real property taxation: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which the purchaser, grantee, seller, or grantor is a party;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which an owner of the property described in the application is a party;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by the appraisal district for the purpose of establishing a value of the property or of providing evidence of comparable sales to appraise another property;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statistical purposes if the information is provided in a form that does not identify a specific property or specific purchaser, grantee, seller, or grantor;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and to the extent that the information is required to be included in a public document or record that the appraisal office is required to prepare or maintain;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to a taxing unit or its legal representative that is engaged in the collection of delinquent taxes on the property described in the application.</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Information that is disclosed under Subsection (a-6) does not lose its confidential character.</w:t>
      </w:r>
    </w:p>
    <w:p w:rsidR="003F3435" w:rsidRDefault="0032493E">
      <w:pPr>
        <w:spacing w:line="480" w:lineRule="auto"/>
        <w:ind w:firstLine="720"/>
        <w:jc w:val="both"/>
      </w:pPr>
      <w:r>
        <w:t xml:space="preserve">(b)</w:t>
      </w:r>
      <w:r xml:space="preserve">
        <w:t> </w:t>
      </w:r>
      <w:r xml:space="preserve">
        <w:t> </w:t>
      </w:r>
      <w:r>
        <w:t xml:space="preserve">When appraising a residence homestead, the chief appraiser shall:</w:t>
      </w:r>
    </w:p>
    <w:p w:rsidR="003F3435" w:rsidRDefault="0032493E">
      <w:pPr>
        <w:spacing w:line="480" w:lineRule="auto"/>
        <w:ind w:firstLine="1440"/>
        <w:jc w:val="both"/>
      </w:pPr>
      <w:r>
        <w:t xml:space="preserve">(1)</w:t>
      </w:r>
      <w:r xml:space="preserve">
        <w:t> </w:t>
      </w:r>
      <w:r xml:space="preserve">
        <w:t> </w:t>
      </w:r>
      <w:r>
        <w:t xml:space="preserve">appraise the property at its market value; and</w:t>
      </w:r>
    </w:p>
    <w:p w:rsidR="003F3435" w:rsidRDefault="0032493E">
      <w:pPr>
        <w:spacing w:line="480" w:lineRule="auto"/>
        <w:ind w:firstLine="1440"/>
        <w:jc w:val="both"/>
      </w:pPr>
      <w:r>
        <w:t xml:space="preserve">(2)</w:t>
      </w:r>
      <w:r xml:space="preserve">
        <w:t> </w:t>
      </w:r>
      <w:r xml:space="preserve">
        <w:t> </w:t>
      </w:r>
      <w:r>
        <w:t xml:space="preserve">include in the appraisal records both the market value of the property and the amount computed under Subsection </w:t>
      </w:r>
      <w:r>
        <w:rPr>
          <w:u w:val="single"/>
        </w:rPr>
        <w:t xml:space="preserve">(a) or (a-1), as applicable</w:t>
      </w:r>
      <w:r>
        <w:t xml:space="preserve"> [</w:t>
      </w:r>
      <w:r>
        <w:rPr>
          <w:strike/>
        </w:rPr>
        <w:t xml:space="preserve">(a)(2)</w:t>
      </w:r>
      <w:r>
        <w:t xml:space="preserve">].</w:t>
      </w:r>
    </w:p>
    <w:p w:rsidR="003F3435" w:rsidRDefault="0032493E">
      <w:pPr>
        <w:spacing w:line="480" w:lineRule="auto"/>
        <w:ind w:firstLine="720"/>
        <w:jc w:val="both"/>
      </w:pPr>
      <w:r>
        <w:t xml:space="preserve">(c)</w:t>
      </w:r>
      <w:r xml:space="preserve">
        <w:t> </w:t>
      </w:r>
      <w:r xml:space="preserve">
        <w:t> </w:t>
      </w:r>
      <w:r>
        <w:t xml:space="preserve">The limitation provided by Subsection (a) </w:t>
      </w:r>
      <w:r>
        <w:rPr>
          <w:u w:val="single"/>
        </w:rPr>
        <w:t xml:space="preserve">or (a-1)</w:t>
      </w:r>
      <w:r>
        <w:t xml:space="preserve"> takes effect as to a residence homestead on January 1 of the </w:t>
      </w:r>
      <w:r>
        <w:rPr>
          <w:u w:val="single"/>
        </w:rPr>
        <w:t xml:space="preserve">first</w:t>
      </w:r>
      <w:r>
        <w:t xml:space="preserve"> tax year [</w:t>
      </w:r>
      <w:r>
        <w:rPr>
          <w:strike/>
        </w:rPr>
        <w:t xml:space="preserve">following the first tax year</w:t>
      </w:r>
      <w:r>
        <w:t xml:space="preserve">] the owner qualifies the property for an exemption under Section 11.13.  The limitation expires on January 1 of the first tax year that neither the owner of the property when the limitation took effect nor the owner's spouse or surviving spouse qualifies for an exemption under Section 11.13.</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Notwithstanding Subsection (c), a limitation established under Subsection (a) or (a-1) does not expire if a change in ownership of the property occurs by inheritance or under a will as long as the person who acquires the property qualifies for an exemption under Section 11.13.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23.23(e), (f), and (g), Tax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authorizing the legislature to provide that the appraised value of a residence homestead for ad valorem tax purposes is the market value of the property for the first year that the owner qualified the property for a homestead exemption or, if the owner purchased the property, the purchase price of the property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