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88R3985 JTZ-F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Kolkhorst</w:t>
      </w:r>
      <w:r xml:space="preserve">
        <w:tab wTab="150" tlc="none" cTlc="0"/>
      </w:r>
      <w:r>
        <w:t xml:space="preserve">S.B.</w:t>
      </w:r>
      <w:r xml:space="preserve">
        <w:t> </w:t>
      </w:r>
      <w:r>
        <w:t xml:space="preserve">No.</w:t>
      </w:r>
      <w:r xml:space="preserve">
        <w:t> </w:t>
      </w:r>
      <w:r>
        <w:t xml:space="preserve">1069</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County Court at Law of Aransas County.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Sections 25.0062(a) and (b), Government Code, are amended to read as follows:</w:t>
      </w:r>
    </w:p>
    <w:p w:rsidR="003F3435" w:rsidRDefault="0032493E">
      <w:pPr>
        <w:spacing w:line="480" w:lineRule="auto"/>
        <w:ind w:firstLine="720"/>
        <w:jc w:val="both"/>
      </w:pPr>
      <w:r>
        <w:t xml:space="preserve">(a)</w:t>
      </w:r>
      <w:r xml:space="preserve">
        <w:t> </w:t>
      </w:r>
      <w:r xml:space="preserve">
        <w:t> </w:t>
      </w:r>
      <w:r>
        <w:t xml:space="preserve">In addition to the jurisdiction provided by Section 25.0003 and other law, a county court at law of Aransas County has concurrent jurisdiction with the district court in:</w:t>
      </w:r>
    </w:p>
    <w:p w:rsidR="003F3435" w:rsidRDefault="0032493E">
      <w:pPr>
        <w:spacing w:line="480" w:lineRule="auto"/>
        <w:ind w:firstLine="1440"/>
        <w:jc w:val="both"/>
      </w:pPr>
      <w:r>
        <w:t xml:space="preserve">(1)</w:t>
      </w:r>
      <w:r xml:space="preserve">
        <w:t> </w:t>
      </w:r>
      <w:r xml:space="preserve">
        <w:t> </w:t>
      </w:r>
      <w:r>
        <w:t xml:space="preserve">family law cases and proceedings; [</w:t>
      </w:r>
      <w:r>
        <w:rPr>
          <w:strike/>
        </w:rPr>
        <w:t xml:space="preserve">and</w:t>
      </w:r>
      <w:r>
        <w:t xml:space="preserve">]</w:t>
      </w:r>
    </w:p>
    <w:p w:rsidR="003F3435" w:rsidRDefault="0032493E">
      <w:pPr>
        <w:spacing w:line="480" w:lineRule="auto"/>
        <w:ind w:firstLine="1440"/>
        <w:jc w:val="both"/>
      </w:pPr>
      <w:r>
        <w:t xml:space="preserve">(2)</w:t>
      </w:r>
      <w:r xml:space="preserve">
        <w:t> </w:t>
      </w:r>
      <w:r xml:space="preserve">
        <w:t> </w:t>
      </w:r>
      <w:r>
        <w:t xml:space="preserve">felony cases to conduct arraignments, conduct pretrial hearings, and accept guilty pleas</w:t>
      </w:r>
      <w:r>
        <w:rPr>
          <w:u w:val="single"/>
        </w:rPr>
        <w:t xml:space="preserv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civil cases in which the matter in controversy exceeds the maximum amount provided by Section 25.0003</w:t>
      </w:r>
      <w:r>
        <w:t xml:space="preserve">.</w:t>
      </w:r>
    </w:p>
    <w:p w:rsidR="003F3435" w:rsidRDefault="0032493E">
      <w:pPr>
        <w:spacing w:line="480" w:lineRule="auto"/>
        <w:ind w:firstLine="720"/>
        <w:jc w:val="both"/>
      </w:pPr>
      <w:r>
        <w:t xml:space="preserve">(b)</w:t>
      </w:r>
      <w:r xml:space="preserve">
        <w:t> </w:t>
      </w:r>
      <w:r xml:space="preserve">
        <w:t> </w:t>
      </w:r>
      <w:r>
        <w:t xml:space="preserve">The district clerk serves as clerk of a county court at law in felony cases</w:t>
      </w:r>
      <w:r>
        <w:rPr>
          <w:u w:val="single"/>
        </w:rPr>
        <w:t xml:space="preserve">, in</w:t>
      </w:r>
      <w:r>
        <w:t xml:space="preserve"> [</w:t>
      </w:r>
      <w:r>
        <w:rPr>
          <w:strike/>
        </w:rPr>
        <w:t xml:space="preserve">and</w:t>
      </w:r>
      <w:r>
        <w:t xml:space="preserve">] family law cases and proceedings, </w:t>
      </w:r>
      <w:r>
        <w:rPr>
          <w:u w:val="single"/>
        </w:rPr>
        <w:t xml:space="preserve">and in civil cases in which the matter in controversy exceeds $250,000.  The</w:t>
      </w:r>
      <w:r>
        <w:t xml:space="preserve"> [</w:t>
      </w:r>
      <w:r>
        <w:rPr>
          <w:strike/>
        </w:rPr>
        <w:t xml:space="preserve">and the</w:t>
      </w:r>
      <w:r>
        <w:t xml:space="preserve">] county clerk serves as clerk of a county court at law in all other cases.  The district clerk shall establish a separate docket for a county court at law.  The commissioners court shall provide the deputy clerks, bailiffs, and other personnel necessary to operate a county court at law.</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changes in law made by this Act apply only to a case filed or proceeding commenced on or after the effective date of this Act.  A case filed or proceeding commenced before the effective date of this Act is governed by the law in effect on the date the case was filed or the proceeding was commenced, and the former law is continued in effect for that purpose.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1069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