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Creighton</w:t>
      </w:r>
      <w:r xml:space="preserve">
        <w:tab wTab="150" tlc="none" cTlc="0"/>
      </w:r>
      <w:r>
        <w:t xml:space="preserve">S.B.</w:t>
      </w:r>
      <w:r xml:space="preserve">
        <w:t> </w:t>
      </w:r>
      <w:r>
        <w:t xml:space="preserve">No.</w:t>
      </w:r>
      <w:r xml:space="preserve">
        <w:t> </w:t>
      </w:r>
      <w:r>
        <w:t xml:space="preserve">1072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local school health advisory councils and instruction regarding human sexuality, sexual orientation, and gender identity provided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establishing a local school health advisory council in which members are appointed by the governing body of the school and health education instruction complies with Section 28.004</w:t>
      </w:r>
      <w:r>
        <w:t xml:space="preserv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28;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Section 28.004; and</w:t>
      </w:r>
    </w:p>
    <w:p w:rsidR="003F3435" w:rsidRDefault="0032493E">
      <w:pPr>
        <w:spacing w:line="480" w:lineRule="auto"/>
        <w:ind w:firstLine="1440"/>
        <w:jc w:val="both"/>
      </w:pPr>
      <w:r>
        <w:rPr>
          <w:u w:val="single"/>
        </w:rPr>
        <w:t xml:space="preserve">(5)</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28.004, Education Code, is amended by amending Subsection (c) and adding Subsections (r), (s), (t), (u), and (v) to read as follows:</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(H)</w:t>
      </w:r>
      <w:r xml:space="preserve">
        <w:t> </w:t>
      </w:r>
      <w:r xml:space="preserve">
        <w:t> </w:t>
      </w:r>
      <w:r>
        <w:t xml:space="preserve">a safe and healthy school environment; and</w:t>
      </w:r>
    </w:p>
    <w:p w:rsidR="003F3435" w:rsidRDefault="0032493E">
      <w:pPr>
        <w:spacing w:line="480" w:lineRule="auto"/>
        <w:ind w:firstLine="2160"/>
        <w:jc w:val="both"/>
      </w:pPr>
      <w:r>
        <w:t xml:space="preserve">(I)</w:t>
      </w:r>
      <w:r xml:space="preserve">
        <w:t> </w:t>
      </w:r>
      <w:r xml:space="preserve">
        <w:t> </w:t>
      </w:r>
      <w:r>
        <w:t xml:space="preserve">school employee wellness;</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opioid addiction and abuse and methods of administering an opioid antagonist, as defined by Section 483.101, Health and Safety Code;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communication policy described by Subsection (r) for approval by the board of trustees of the school district</w:t>
      </w:r>
      <w:r>
        <w:t xml:space="preserv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Subject to the restriction imposed by Section 28.0043 and using the procedure described by Subsection (e-1), the board of trustees shall adopt a written policy regarding communication outside of a course dedicated to human sexuality instruction between a school employee and a student enrolled in the district concerning topics included in the reproductive and sexual health curriculum. </w:t>
      </w:r>
      <w:r>
        <w:rPr>
          <w:u w:val="single"/>
        </w:rPr>
        <w:t xml:space="preserve"> </w:t>
      </w:r>
      <w:r>
        <w:rPr>
          <w:u w:val="single"/>
        </w:rPr>
        <w:t xml:space="preserve">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school employees to refer students to discuss topics included in the reproductive and sexual health curriculum with the student's parent, a school counselor, or, if applicable, the student's teacher responsible for teaching materials related to human sexuality instruction;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school employees regarding appropriate boundaries related to communicating with students;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provisions designed to prevent improper communication between school employees and students.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A school district shall make the policy adopted under Subsection (r) available in the same manner as curriculum materials under Subsection (j)(1).</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A school district may not host an extracurricular activity related to human sexuality unless the board of trustees has adopted a written policy, subject to the restriction imposed by Section 28.0043 and using the procedure described by Subsection (e-1), specifying the circumstances in which the district may host an extracurricular activity related to human sexuality.</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For purposes of adopting a communication policy under this section, "communication" includes any verbal or written communication conducted in person or facilitated through the use of an electronic device, including communication conducted through a telephone, including a cellular telephone, a computer, a computer network, personal data assistance, a pager, e-mail, text message, instant message, a social media application, or an Internet website.</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If the attorney general or an appropriate district or county attorney believes that a school district has violated or is violating the provisions of this section, the attorney general or district or county attorney may bring a cause of action on behalf of the state to enjoin the district from violating the provisions of this section. </w:t>
      </w:r>
      <w:r>
        <w:rPr>
          <w:u w:val="single"/>
        </w:rPr>
        <w:t xml:space="preserve"> </w:t>
      </w:r>
      <w:r>
        <w:rPr>
          <w:u w:val="single"/>
        </w:rPr>
        <w:t xml:space="preserve">The action may be brought in a district court in Travis County or a county in which any part of the violation or threatened violation occurred. The court may grant any prohibitory or mandatory relief warranted by the facts, including a temporary restraining order, temporary injunction, or permanent injunction.</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Subchapter A, Chapter 28, Education Code, is amended by adding Section 28.0043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28.0043.</w:t>
      </w:r>
      <w:r>
        <w:rPr>
          <w:u w:val="single"/>
        </w:rPr>
        <w:t xml:space="preserve"> </w:t>
      </w:r>
      <w:r>
        <w:rPr>
          <w:u w:val="single"/>
        </w:rPr>
        <w:t xml:space="preserve"> </w:t>
      </w:r>
      <w:r>
        <w:rPr>
          <w:u w:val="single"/>
        </w:rPr>
        <w:t xml:space="preserve">RESTRICTION ON INSTRUCTION REGARDING SEXUAL ORIENTATION AND GENDER IDENTITY.  (a) </w:t>
      </w:r>
      <w:r>
        <w:rPr>
          <w:u w:val="single"/>
        </w:rPr>
        <w:t xml:space="preserve"> </w:t>
      </w:r>
      <w:r>
        <w:rPr>
          <w:u w:val="single"/>
        </w:rPr>
        <w:t xml:space="preserve">A school district, open-enrollment charter school, or district or charter school employee may not provide or allow a third party to provide instruction, guidance, activities, or programming regarding sexual orientation or gender identity to students enrolled in prekindergarten through 12th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ability to engage in speech or expressive conduct protected by the First Amendment to the United States Constitution or by Section 8, Article I, Texas Constitution, that does not result in material disruption to school activities;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ability of a person who is authorized by the district to provide physical or mental health-related services to provide the services to a student, subject to any required parental consent.</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12A.004(a), Education Code, as amended by this Act, applies to a local innovation plan adopted or renewed before, on, or after the effective date of this Act.</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28.004, Education Code, as amended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