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88R7424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local school health advisory councils and human sexuality instruction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establishing a local school health advisory council in which members are appointed by the governing body of the school and health education instruction complies with Section 28.004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28.004, Education Code, is amended by amending Subsection (c) and adding Subsections (r), (s), (t), (u), and (v)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opioid addiction and abuse and methods of administering an opioid antagonist, as defined by Section 483.101, Health and Safety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approved by the board of trustees, the policies, procedures, and circumstances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employee may discuss matters of human sexuality with students;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campus may host an extracurricular event related to human sexuality</w:t>
      </w:r>
      <w:r>
        <w:t xml:space="preserv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board of trustees may adopt a policy allowing the local school health advisory council to determine the circumstances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employee may discuss matters of human sexuality with students;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campus may host an extracurricular event related to human sexuality.</w:t>
      </w:r>
      <w:r>
        <w:t xml:space="preserve"> </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board adopts a policy under Subsection (r), the board must notify each parent of a child enrolled in the district of the adoption of the policy before the beginning of each school year.</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Except as provided by Subsection (r), a  school district employee may not discuss matters of human sexuality with a student in any class or interaction with a student other than a class designed and approved by the board of trustees to provide human sexuality instruction. If the board adopts a policy under Subsection (r) to allow discussion with students regarding human sexuality, a school district employee may discuss matters of human sexuality with a student only in accordance with that policy.</w:t>
      </w:r>
      <w:r>
        <w:t xml:space="preserve"> </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Except as provided by Subsection (r), a campus may not host an extracurricular activity related to human sexuality. If the board of trustees adopts a policy under Subsection (r) specifying the circumstances in which a campus may host an extracurricular activity related to human sexuality, the campus may host the extracurricular activity only in accordance with that policy.</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If the attorney general or an appropriate district or county attorney believes that a school district has violated or is violating the provisions of this section, the attorney general or district or county attorney may bring a cause of action on behalf of the state to enjoin the district from violating the provisions of this section. The action may be brought in a district court in Travis County or a county in which any part of the violation or threatened violation occurred. The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28.004, Education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