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repealing the ability to declare certain unopposed candidates for office as 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2.055 [</w:t>
      </w:r>
      <w:r>
        <w:rPr>
          <w:strike/>
        </w:rPr>
        <w:t xml:space="preserve">and 2.056</w:t>
      </w:r>
      <w:r>
        <w:t xml:space="preserve">], this subchapter applies only to an election for officers of a political subdivision other than a county in which write-in votes may be counted only for names appearing on a list of write-in candidates and in which</w:t>
      </w:r>
      <w:r xml:space="preserve">
        <w:t> </w:t>
      </w:r>
      <w:r>
        <w:t xml:space="preserve">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2.053(c) [</w:t>
      </w:r>
      <w:r>
        <w:rPr>
          <w:strike/>
        </w:rPr>
        <w:t xml:space="preserve">or 2.056(e)</w:t>
      </w:r>
      <w:r>
        <w:t xml:space="preserve">],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2.056 and 124.003(e),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1089 passed the Senate on March</w:t>
      </w:r>
      <w:r xml:space="preserve">
        <w:t> </w:t>
      </w:r>
      <w:r>
        <w:t xml:space="preserve">28,</w:t>
      </w:r>
      <w:r xml:space="preserve">
        <w:t> </w:t>
      </w:r>
      <w:r>
        <w:t xml:space="preserve">2023,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1089 passed the House on May</w:t>
      </w:r>
      <w:r xml:space="preserve">
        <w:t> </w:t>
      </w:r>
      <w:r>
        <w:t xml:space="preserve">18,</w:t>
      </w:r>
      <w:r xml:space="preserve">
        <w:t> </w:t>
      </w:r>
      <w:r>
        <w:t xml:space="preserve">2023, by the following vote:</w:t>
      </w:r>
      <w:r xml:space="preserve">
        <w:t> </w:t>
      </w:r>
      <w:r xml:space="preserve">
        <w:t> </w:t>
      </w:r>
      <w:r>
        <w:t xml:space="preserve">Yeas</w:t>
      </w:r>
      <w:r xml:space="preserve">
        <w:t> </w:t>
      </w:r>
      <w:r>
        <w:t xml:space="preserve">117, Nays</w:t>
      </w:r>
      <w:r xml:space="preserve">
        <w:t> </w:t>
      </w:r>
      <w:r>
        <w:t xml:space="preserve">27,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