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88R9955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a motorcycle.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541.201(9),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"Motorcycle" means a motor vehicle[</w:t>
      </w:r>
      <w:r>
        <w:rPr>
          <w:strike/>
        </w:rPr>
        <w:t xml:space="preserve">, other than a tractor or moped,</w:t>
      </w:r>
      <w:r>
        <w:t xml:space="preserve">] that</w:t>
      </w:r>
      <w:r>
        <w:rPr>
          <w:u w:val="single"/>
        </w:rPr>
        <w:t xml:space="preserve">, as originally manufactured: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is equipped with a </w:t>
      </w:r>
      <w:r>
        <w:rPr>
          <w:u w:val="single"/>
        </w:rPr>
        <w:t xml:space="preserve">seat or</w:t>
      </w:r>
      <w:r>
        <w:t xml:space="preserve"> [</w:t>
      </w:r>
      <w:r>
        <w:rPr>
          <w:strike/>
        </w:rPr>
        <w:t xml:space="preserve">rider's</w:t>
      </w:r>
      <w:r>
        <w:t xml:space="preserve">] saddle </w:t>
      </w:r>
      <w:r>
        <w:rPr>
          <w:u w:val="single"/>
        </w:rPr>
        <w:t xml:space="preserve">that requires the rider to sit astride;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</w:t>
      </w:r>
      <w:r>
        <w:t xml:space="preserve"> [</w:t>
      </w:r>
      <w:r>
        <w:rPr>
          <w:strike/>
        </w:rPr>
        <w:t xml:space="preserve">and</w:t>
      </w:r>
      <w:r>
        <w:t xml:space="preserve">] designed to </w:t>
      </w:r>
      <w:r>
        <w:rPr>
          <w:u w:val="single"/>
        </w:rPr>
        <w:t xml:space="preserve">operate on</w:t>
      </w:r>
      <w:r>
        <w:t xml:space="preserve"> [</w:t>
      </w:r>
      <w:r>
        <w:rPr>
          <w:strike/>
        </w:rPr>
        <w:t xml:space="preserve">have when propelled</w:t>
      </w:r>
      <w:r>
        <w:t xml:space="preserve">] not more than three wheels </w:t>
      </w:r>
      <w:r>
        <w:rPr>
          <w:u w:val="single"/>
        </w:rPr>
        <w:t xml:space="preserve">in contact with</w:t>
      </w:r>
      <w:r>
        <w:t xml:space="preserve"> [</w:t>
      </w:r>
      <w:r>
        <w:rPr>
          <w:strike/>
        </w:rPr>
        <w:t xml:space="preserve">on</w:t>
      </w:r>
      <w:r>
        <w:t xml:space="preserve">] the ground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handlebars for steering;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handlebars and foot controls for acceleration and braking;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capable of reaching a speed of more than 30 miles per hour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