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Zaffirini</w:t>
      </w:r>
      <w:r xml:space="preserve">
        <w:tab wTab="150" tlc="none" cTlc="0"/>
      </w:r>
      <w:r>
        <w:t xml:space="preserve">S.B.</w:t>
      </w:r>
      <w:r xml:space="preserve">
        <w:t> </w:t>
      </w:r>
      <w:r>
        <w:t xml:space="preserve">No.</w:t>
      </w:r>
      <w:r xml:space="preserve">
        <w:t> </w:t>
      </w:r>
      <w:r>
        <w:t xml:space="preserve">1098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rights of a parent or guardian with a child in certain child-care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Kairo and the Kids'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42, Human Resources Code, is amended by adding Section 42.04271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42.04271.</w:t>
      </w:r>
      <w:r>
        <w:rPr>
          <w:u w:val="single"/>
        </w:rPr>
        <w:t xml:space="preserve"> </w:t>
      </w:r>
      <w:r>
        <w:rPr>
          <w:u w:val="single"/>
        </w:rPr>
        <w:t xml:space="preserve"> </w:t>
      </w:r>
      <w:r>
        <w:rPr>
          <w:u w:val="single"/>
        </w:rPr>
        <w:t xml:space="preserve">RIGHTS OF PARENT OR GUARDIAN WITH CHILD IN CERTAIN CHILD-CARE FACILITIES.  (a)</w:t>
      </w:r>
      <w:r>
        <w:rPr>
          <w:u w:val="single"/>
        </w:rPr>
        <w:t xml:space="preserve"> </w:t>
      </w:r>
      <w:r>
        <w:rPr>
          <w:u w:val="single"/>
        </w:rPr>
        <w:t xml:space="preserve"> </w:t>
      </w:r>
      <w:r>
        <w:rPr>
          <w:u w:val="single"/>
        </w:rPr>
        <w:t xml:space="preserve">This section applies only to a day-care center, group day-care home, before-school program, after-school program, school-age program, or registered family home.</w:t>
      </w:r>
    </w:p>
    <w:p w:rsidR="003F3435" w:rsidRDefault="0032493E">
      <w:pPr>
        <w:spacing w:line="480" w:lineRule="auto"/>
        <w:ind w:firstLine="720"/>
        <w:jc w:val="both"/>
      </w:pPr>
      <w:r>
        <w:rPr>
          <w:u w:val="single"/>
        </w:rPr>
        <w:t xml:space="preserve">(b)  A parent or guardian of a child at a child-care facility has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and examine the child-care facility during the facility's hours of operation without advance notice;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a complaint against the child-care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the child-care facility's publicly accessible records;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the child-care facility's written records concerning the parent's or guardian's child;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receive from the child-care facility the commission's inspection reports for the child-care facility and information about how to access the child-care facility's compliance history online;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have the child-care facility comply with a court order preventing another parent or guardian from visiting or removing the parent's or guardian's child;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provided the contact information for the division responsible for regulating the child-care facility, including the division's name, address, and phone number;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inspect any video recordings of an alleged incident of abuse or neglect involving the parent's or guardian's child, provided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video recordings of the alleged incident are available;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parent or guardian of the child is not allowed to retain any part of the video recording depicting a child who is not the parent's or guardian's child;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parent or guardian of any other child captured in the video recording receives notice from the facility under Subsection (c);</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obtain a copy of the child-care facility's policies and procedures;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review, on the request of the parent or guardian, the facility's: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staff training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in-house staff training curriculum used by the facility;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be free from any retaliatory action by the child-care facility for exercising any of the parent's or guardian's rights.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allowing a parent or guardian to inspect a video recording under Subsection (b)(8), a child-care facility must provide notice to the parent or guardian of any other child captured in the video recording.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ability of a law enforcement agency or the department to access a video recording as part of an investigation of an incident depicted in the video recording.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child-care facility shall provide the parent or guardian of the child with a written copy of the rights listed in Subsection (b) not later than the child's first day at the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September 30, 2023, a child-care facility shall provide the information required by Section 42.04271, Human Resources Code, as added by this Act, to the parent or guardian of each child enrolled at the facility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