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1112</w:t>
      </w:r>
    </w:p>
    <w:p w:rsidR="003F3435" w:rsidRDefault="0032493E">
      <w:pPr>
        <w:ind w:firstLine="720"/>
        <w:jc w:val="both"/>
      </w:pPr>
      <w:r>
        <w:t xml:space="preserve">(Guillen)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by the Public Utility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411, Government Code, is amended by adding Section 411.14031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411.14031.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CRIMINAL HISTORY RECORD INFORMATION: PUBLIC UTILITY COMMISSION OF TEXAS. (a) The Public Utility Commission of Texas is entitled to obtain from the department criminal history record information maintained by the department that relates to a person undergoing a background and criminal history check under Section 12.107, Utilities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exclusive use of the Public Utility Commission of Texas and is privileged and confidential;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released or disclosed to any person or agency except on court order or with the consent of the person who is the subject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Utility Commission of Texas may destroy criminal history record information obtained under Subsection (a) after the information is used for the purpose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Public Utility Commission of Texas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12, Utilities Code, is amended by adding Section 12.107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CHECKS FOR CERTAIN EMPLOYEES.  Before hiring a person as an employee, the commission may obtain from the Department of Public Safety or a private vendor all criminal history record information relating to the prospective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