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1120</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22,</w:t>
      </w:r>
      <w:r xml:space="preserve">
        <w:t> </w:t>
      </w:r>
      <w:r>
        <w:t xml:space="preserve">2023; March</w:t>
      </w:r>
      <w:r xml:space="preserve">
        <w:t> </w:t>
      </w:r>
      <w:r>
        <w:t xml:space="preserve">9,</w:t>
      </w:r>
      <w:r xml:space="preserve">
        <w:t> </w:t>
      </w:r>
      <w:r>
        <w:t xml:space="preserve">2023, read first time and referred to Committee on Business &amp; Commerce; March</w:t>
      </w:r>
      <w:r xml:space="preserve">
        <w:t> </w:t>
      </w:r>
      <w:r>
        <w:t xml:space="preserve">31,</w:t>
      </w:r>
      <w:r xml:space="preserve">
        <w:t> </w:t>
      </w:r>
      <w:r>
        <w:t xml:space="preserve">2023, reported favorably by the following vote:</w:t>
      </w:r>
      <w:r>
        <w:t xml:space="preserve"> </w:t>
      </w:r>
      <w:r>
        <w:t xml:space="preserve"> </w:t>
      </w:r>
      <w:r>
        <w:t xml:space="preserve">Yeas 11, Nays 0; March</w:t>
      </w:r>
      <w:r xml:space="preserve">
        <w:t> </w:t>
      </w:r>
      <w:r>
        <w:t xml:space="preserve">31,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prohibited practices by a barber or cosmetologist.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E-1, Chapter 1603, Occupations Code, is amended by adding Section 1603.2110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1603.2110.</w:t>
      </w:r>
      <w:r>
        <w:rPr>
          <w:u w:val="single"/>
        </w:rPr>
        <w:t xml:space="preserve"> </w:t>
      </w:r>
      <w:r>
        <w:rPr>
          <w:u w:val="single"/>
        </w:rPr>
        <w:t xml:space="preserve"> </w:t>
      </w:r>
      <w:r>
        <w:rPr>
          <w:u w:val="single"/>
        </w:rPr>
        <w:t xml:space="preserve">PROHIBITED PRACTICES.  (a)  Except as provided by Subsection (b), a person performing a barbering or cosmetology service within the scope of a license or permit issued under this subchapter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an incision into the dermis layer of a person's skin, including for purposes of injecting a medication or other substance;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 prescription medical device approved by the United States Food and Drug Administration.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holding a license or permit issued under this subchapter may perform an act described by Subsection (a) as part of a barbering or cosmetology service if the person is licensed to perform that act in this state or is otherwise authorized by law to perform that act.  In a disciplinary action by the commission related to an act in violation of Subsection (a), the license or permit holder has the burden of proving by a preponderance of the evidence that the person is licensed or otherwise authorized to perform the 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the authority of another state agency regulating a profession to enforce any law related to that profession.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1603.2110, Occupations Code, as added by this Act, applies only to conduct that occurs on or after the effective date of this Act.  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