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88R7578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person to serve on the appraisal review board of certain appraisal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6.412(d),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person is ineligible to serve on the appraisal review board of an appraisal district established for a county with a population of 120,000 or more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 former member of the board of directors, former officer, or former employee of the appraisal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served as a member of the governing body or officer of a taxing unit for which the appraisal district appraises property, until the fourth anniversary of the date the person ceased to be a member or officer;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appeared before the appraisal review board for compensation during the two-year period preceding the date the person is appointed[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served for all or part of three previous terms as a board member or auxiliary board member on the appraisal review board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