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1144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enrolling a public school student in a virtual education program as an alternative to expulsion.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37, Education Code, is amended by adding Section 37.0071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37.0071.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VIRTUAL EDUCATION AS ALTERNATIVE TO EXPULSION.  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(b), before a school district or open-enrollment charter school may expel a student, the district or school shall consider as an alternative to expulsion the appropriateness and feasibility of enrolling the student in a full-time virtual education program through the state virtual school network under Chapter 30A or another virtual education program authorized by this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a student expelled under Section 37.0081 or 37.007(a), (d), or (e).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