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88R7420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enrolling a public school student in the state virtual school network as an alternative to expulsion.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37, Education Code, is amended by adding Section 37.0071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VIRTUAL EDUCATION AS ALTERNATIVE TO EXPULSION.  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before a school district or open-enrollment charter school may expel a student, the district or school shall consider the appropriateness and feasibility of enrolling the student in a full-time virtual education program through the state virtual school network under Chapter 30A as an alternative to expulsion.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student expelled under Section 37.0081 or 37.007(a), (d), or (e).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