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1144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23,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Education;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12, Nays 0;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1144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enrolling a public school student in a virtual education program as an alternative to expulsion.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37, Education Code, is amended by adding Section 37.0071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37.0071.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VIRTUAL EDUCATION AS ALTERNATIVE TO EXPULSION.  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before a school district or open-enrollment charter school may expel a student, the district or school shall consider as an alternative to expulsion the appropriateness and feasibility of enrolling the student in a full-time virtual education program through the state virtual school network under Chapter 30A or another virtual education program authorized by this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a student expelled under Section 37.0081 or 37.007(a), (d), or (e).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1144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