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terms for members of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33.083, Education Code, is amended by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state executive committee of the University Interscholastic League are appointed for staggered three-year terms, with as near as possible to one-third of the members'</w:t>
      </w:r>
      <w:r>
        <w:rPr>
          <w:u w:val="single"/>
        </w:rPr>
        <w:t xml:space="preserve"> </w:t>
      </w:r>
      <w:r>
        <w:rPr>
          <w:u w:val="single"/>
        </w:rPr>
        <w:t xml:space="preserve">terms expiring June 30 of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not serve more than two terms on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commissioner of education shall adopt any rules necessary to implement the requirement of staggered three-year terms imposed under Section 33.083(e), Education Code, as added by this Act, for members of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