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Whitmire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1158</w:t>
      </w:r>
    </w:p>
    <w:p w:rsidR="003F3435" w:rsidRDefault="0032493E">
      <w:pPr>
        <w:ind w:firstLine="720"/>
        <w:jc w:val="both"/>
      </w:pPr>
      <w:r>
        <w:t xml:space="preserve">(Paul)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single event classification for eligibility under the major events reimbursement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478.0052,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478.0052.</w:t>
      </w:r>
      <w:r xml:space="preserve">
        <w:t> </w:t>
      </w:r>
      <w:r xml:space="preserve">
        <w:t> </w:t>
      </w:r>
      <w:r>
        <w:t xml:space="preserve">SINGLE EVENT CLASSIFICATION FOR ELIGIBILITY PURPOSES. </w:t>
      </w:r>
      <w:r>
        <w:t xml:space="preserve"> </w:t>
      </w:r>
      <w:r>
        <w:t xml:space="preserve">For purposes of Section 478.0051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,</w:t>
      </w:r>
      <w:r>
        <w:t xml:space="preserve">] each presidential general election debate in a series of presidential debates before a general election is considered a separate, single event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series of games for the World Cup soccer tournament held in a market area designated for that series is considered a separate, single event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1158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