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88R3545 AMF-F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Birdwell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1164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determination of the best interest of a child in certain suits affecting the parent-child relationship.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153.002,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153.002.</w:t>
      </w:r>
      <w:r xml:space="preserve">
        <w:t> </w:t>
      </w:r>
      <w:r xml:space="preserve">
        <w:t> </w:t>
      </w:r>
      <w:r>
        <w:t xml:space="preserve">BEST INTEREST OF CHILD.  </w:t>
      </w:r>
      <w:r>
        <w:rPr>
          <w:u w:val="single"/>
        </w:rPr>
        <w:t xml:space="preserve">(a)</w:t>
      </w:r>
      <w:r>
        <w:t xml:space="preserve"> </w:t>
      </w:r>
      <w:r>
        <w:t xml:space="preserve"> </w:t>
      </w:r>
      <w:r>
        <w:t xml:space="preserve">The best interest of the child shall always be the primary consideration of the court in determining the issues of conservatorship and possession of and access to the child.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 suit by a nonparent requesting possession of or access to a child, it is a rebuttable presumption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parent makes decisions in the best interest of the parent's child;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it is in the best interest of a child to be raised by the child's parents.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263.307(a),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considering the factors established by this section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,</w:t>
      </w:r>
      <w:r>
        <w:t xml:space="preserve">] the prompt and permanent placement of the child in a safe environment is presumed to be in the child's best interest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rebuttable presumption described by Section 153.002(b) applies when determining the best interest of a child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a suit affecting the parent-child relationship that is pending in a trial court on the effective date of this Act or filed on or after that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