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88R9909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or possession of a handgun by certain retired judges and justices.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46.15(a), Penal Code, is amended to read as follows:</w:t>
      </w:r>
    </w:p>
    <w:p w:rsidR="003F3435" w:rsidRDefault="0032493E">
      <w:pPr>
        <w:spacing w:line="480" w:lineRule="auto"/>
        <w:ind w:firstLine="720"/>
        <w:jc w:val="both"/>
      </w:pPr>
      <w:r>
        <w:t xml:space="preserve">(a)</w:t>
      </w:r>
      <w:r xml:space="preserve">
        <w:t> </w:t>
      </w:r>
      <w:r xml:space="preserve">
        <w:t> </w:t>
      </w:r>
      <w:r>
        <w:t xml:space="preserve">Sections 46.02 and 46.03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neither section prohibits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neither section prohibits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w:t>
      </w:r>
      <w:r>
        <w:rPr>
          <w:u w:val="single"/>
        </w:rPr>
        <w:t xml:space="preserve">or retired</w:t>
      </w:r>
      <w:r>
        <w:t xml:space="preser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t xml:space="preserve">carrying a handgun under the authority of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retired after serving as a judge or justice described by Section 411.201(a)(1), Government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licensed to carry a handgun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