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1180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Criminal Justice;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1180</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civil actions by a civilly committed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w:t>
      </w:r>
      <w:r>
        <w:rPr>
          <w:u w:val="single"/>
        </w:rPr>
        <w:t xml:space="preserve"> </w:t>
      </w:r>
      <w:r>
        <w:rPr>
          <w:u w:val="single"/>
        </w:rPr>
        <w:t xml:space="preserve">LITIGATION BY CIVILLY COMMITTED INDIVIDUAL</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defined by Section 841.003, Health and Safety Code, who has been committed to a facility operated by or under contract with the Texas Civil Commitment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w:t>
      </w:r>
      <w:r>
        <w:rPr>
          <w:u w:val="single"/>
        </w:rPr>
        <w:t xml:space="preserve"> </w:t>
      </w:r>
      <w:r>
        <w:rPr>
          <w:u w:val="single"/>
        </w:rPr>
        <w:t xml:space="preserve">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w:t>
      </w:r>
      <w:r>
        <w:rPr>
          <w:u w:val="single"/>
        </w:rPr>
        <w:t xml:space="preserve"> </w:t>
      </w:r>
      <w:r>
        <w:rPr>
          <w:u w:val="single"/>
        </w:rPr>
        <w:t xml:space="preserve">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furnish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