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1183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defense to prosecution for certain offenses involving possession of small amounts of controlled substances, marihuana, dangerous drugs, or abusable volatile chemicals, or possession of drug paraphernalia for defendants seeking assistance for a suspected overdose.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481.1151(b)(1), 481.116(b),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481.116(b),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or 481.118(b),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481.125(a),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481.125(a), or 483.041(a)[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