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88R9411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1185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burglary of a vehicle involving theft of a firearm;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30.04, Penal Code, is amended by amending Subsections (b), (d), and (d-1) and adding Subsection (d-2) to read as follows:</w:t>
      </w:r>
    </w:p>
    <w:p w:rsidR="003F3435" w:rsidRDefault="0032493E">
      <w:pPr>
        <w:spacing w:line="480" w:lineRule="auto"/>
        <w:ind w:firstLine="720"/>
        <w:jc w:val="both"/>
      </w:pPr>
      <w:r>
        <w:t xml:space="preserve">(b)</w:t>
      </w:r>
      <w:r xml:space="preserve">
        <w:t> </w:t>
      </w:r>
      <w:r xml:space="preserve">
        <w:t> </w:t>
      </w:r>
      <w:r>
        <w:t xml:space="preserve">For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w:t>
      </w:r>
      <w:r>
        <w:t xml:space="preserve"> [</w:t>
      </w:r>
      <w:r>
        <w:rPr>
          <w:strike/>
        </w:rPr>
        <w:t xml:space="preserve">,"enter"</w:t>
      </w:r>
      <w:r>
        <w:t xml:space="preserve">] means to intrude: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any part of the body;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any physical object connected with the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an</w:t>
      </w:r>
      <w:r xml:space="preserve">
        <w:t> </w:t>
      </w:r>
      <w:r>
        <w:t xml:space="preserve">[</w:t>
      </w:r>
      <w:r>
        <w:rPr>
          <w:strike/>
        </w:rPr>
        <w:t xml:space="preserve">An</w:t>
      </w:r>
      <w:r>
        <w:t xml:space="preserve">]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 and</w:t>
      </w:r>
    </w:p>
    <w:p w:rsidR="003F3435" w:rsidRDefault="0032493E">
      <w:pPr>
        <w:spacing w:line="480" w:lineRule="auto"/>
        <w:ind w:firstLine="2160"/>
        <w:jc w:val="both"/>
      </w:pPr>
      <w:r>
        <w:t xml:space="preserve">(B)</w:t>
      </w:r>
      <w:r xml:space="preserve">
        <w:t> </w:t>
      </w:r>
      <w:r xml:space="preserve">
        <w:t> </w:t>
      </w:r>
      <w:r>
        <w:t xml:space="preserve">the actor breaks into or enters that vehicle with the intent to commit theft of a controlled substance.</w:t>
      </w:r>
    </w:p>
    <w:p w:rsidR="003F3435" w:rsidRDefault="0032493E">
      <w:pPr>
        <w:spacing w:line="480" w:lineRule="auto"/>
        <w:ind w:firstLine="720"/>
        <w:jc w:val="both"/>
      </w:pPr>
      <w:r>
        <w:t xml:space="preserve">(d-1)</w:t>
      </w:r>
      <w:r xml:space="preserve">
        <w:t> </w:t>
      </w:r>
      <w:r xml:space="preserve">
        <w:t> </w:t>
      </w:r>
      <w:r>
        <w:rPr>
          <w:u w:val="single"/>
        </w:rPr>
        <w:t xml:space="preserve">An offense under this section is a state jail felony if, during the commission of the offense, the actor engages in conduct constituting the offense of theft of a firearm, except that the offense is a felony of the third degree if it is shown on the trial of the offense that the actor has been previously convicted of an offense punishable under this subsection.</w:t>
      </w:r>
    </w:p>
    <w:p w:rsidR="003F3435" w:rsidRDefault="0032493E">
      <w:pPr>
        <w:spacing w:line="480" w:lineRule="auto"/>
        <w:ind w:firstLine="720"/>
        <w:jc w:val="both"/>
      </w:pPr>
      <w:r>
        <w:rPr>
          <w:u w:val="single"/>
        </w:rPr>
        <w:t xml:space="preserve">(d-2)</w:t>
      </w:r>
      <w:r xml:space="preserve">
        <w:t> </w:t>
      </w:r>
      <w:r xml:space="preserve">
        <w:t> </w:t>
      </w:r>
      <w:r>
        <w:t xml:space="preserve">For the purposes of </w:t>
      </w:r>
      <w:r>
        <w:rPr>
          <w:u w:val="single"/>
        </w:rPr>
        <w:t xml:space="preserve">Subsections</w:t>
      </w:r>
      <w:r>
        <w:t xml:space="preserve"> [</w:t>
      </w:r>
      <w:r>
        <w:rPr>
          <w:strike/>
        </w:rPr>
        <w:t xml:space="preserve">Subsection</w:t>
      </w:r>
      <w:r>
        <w:t xml:space="preserve">] (d) </w:t>
      </w:r>
      <w:r>
        <w:rPr>
          <w:u w:val="single"/>
        </w:rPr>
        <w:t xml:space="preserve">and (d-1)</w:t>
      </w:r>
      <w:r>
        <w:t xml:space="preserve">, a defendant has been previously convicted under this section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